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D4" w:rsidRPr="004718D4" w:rsidRDefault="004718D4" w:rsidP="00A02B13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A02B13" w:rsidRPr="00BA2D10" w:rsidRDefault="00A02B13" w:rsidP="00A02B13">
      <w:pPr>
        <w:jc w:val="center"/>
        <w:rPr>
          <w:b/>
          <w:sz w:val="32"/>
          <w:szCs w:val="32"/>
        </w:rPr>
      </w:pPr>
      <w:r w:rsidRPr="00BA2D10">
        <w:rPr>
          <w:b/>
          <w:sz w:val="32"/>
          <w:szCs w:val="32"/>
        </w:rPr>
        <w:t>Тарифы</w:t>
      </w:r>
    </w:p>
    <w:p w:rsidR="00A02B13" w:rsidRDefault="00A02B13" w:rsidP="00BA2D10">
      <w:pPr>
        <w:jc w:val="center"/>
        <w:rPr>
          <w:b/>
        </w:rPr>
      </w:pPr>
      <w:r w:rsidRPr="007C00A0">
        <w:rPr>
          <w:b/>
        </w:rPr>
        <w:t xml:space="preserve">комиссионного вознаграждения за услуги </w:t>
      </w:r>
      <w:r w:rsidR="00BA2D10">
        <w:rPr>
          <w:b/>
        </w:rPr>
        <w:t>Депозитари</w:t>
      </w:r>
      <w:r w:rsidR="00197A8B">
        <w:rPr>
          <w:b/>
        </w:rPr>
        <w:t>я</w:t>
      </w:r>
      <w:r w:rsidR="00BA2D10">
        <w:rPr>
          <w:b/>
        </w:rPr>
        <w:t xml:space="preserve"> </w:t>
      </w:r>
      <w:r w:rsidR="00F11EEC">
        <w:rPr>
          <w:b/>
        </w:rPr>
        <w:t>ПАО</w:t>
      </w:r>
      <w:r w:rsidR="00BA2D10">
        <w:rPr>
          <w:b/>
        </w:rPr>
        <w:t xml:space="preserve"> «Совкомбанк»</w:t>
      </w:r>
    </w:p>
    <w:tbl>
      <w:tblPr>
        <w:tblW w:w="15623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96"/>
        <w:gridCol w:w="1843"/>
        <w:gridCol w:w="1843"/>
        <w:gridCol w:w="3969"/>
        <w:gridCol w:w="3402"/>
      </w:tblGrid>
      <w:tr w:rsidR="00A02B13" w:rsidTr="005C2BAD">
        <w:trPr>
          <w:trHeight w:val="431"/>
        </w:trPr>
        <w:tc>
          <w:tcPr>
            <w:tcW w:w="570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96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услуги/операции</w:t>
            </w:r>
          </w:p>
        </w:tc>
        <w:tc>
          <w:tcPr>
            <w:tcW w:w="3686" w:type="dxa"/>
            <w:gridSpan w:val="2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физических лиц указана в рублях</w:t>
            </w:r>
          </w:p>
        </w:tc>
        <w:tc>
          <w:tcPr>
            <w:tcW w:w="3969" w:type="dxa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юридических лиц указана в рублях</w:t>
            </w:r>
          </w:p>
        </w:tc>
        <w:tc>
          <w:tcPr>
            <w:tcW w:w="3402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Порядок взимания</w:t>
            </w:r>
          </w:p>
        </w:tc>
      </w:tr>
      <w:tr w:rsidR="00A02B13" w:rsidTr="000526DD">
        <w:trPr>
          <w:trHeight w:val="230"/>
        </w:trPr>
        <w:tc>
          <w:tcPr>
            <w:tcW w:w="15623" w:type="dxa"/>
            <w:gridSpan w:val="6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Административные операции:</w:t>
            </w:r>
          </w:p>
        </w:tc>
      </w:tr>
      <w:tr w:rsidR="00197A8B" w:rsidTr="000526DD">
        <w:trPr>
          <w:trHeight w:val="408"/>
        </w:trPr>
        <w:tc>
          <w:tcPr>
            <w:tcW w:w="570" w:type="dxa"/>
            <w:shd w:val="solid" w:color="FFFFFF" w:fill="auto"/>
          </w:tcPr>
          <w:p w:rsidR="00197A8B" w:rsidRDefault="00197A8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96" w:type="dxa"/>
            <w:shd w:val="solid" w:color="FFFFFF" w:fill="auto"/>
          </w:tcPr>
          <w:p w:rsidR="00197A8B" w:rsidRDefault="00B94525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Административные операции за исключением п.1.</w:t>
            </w:r>
            <w:r w:rsidR="004718D4">
              <w:rPr>
                <w:color w:val="000000"/>
                <w:sz w:val="18"/>
                <w:szCs w:val="18"/>
              </w:rPr>
              <w:t>2.</w:t>
            </w:r>
            <w:r w:rsidR="002C2BE4">
              <w:rPr>
                <w:color w:val="000000"/>
                <w:sz w:val="18"/>
                <w:szCs w:val="18"/>
              </w:rPr>
              <w:t xml:space="preserve"> и п.1.3.</w:t>
            </w:r>
            <w:r>
              <w:rPr>
                <w:color w:val="000000"/>
                <w:sz w:val="18"/>
                <w:szCs w:val="18"/>
              </w:rPr>
              <w:t xml:space="preserve"> настоящих Тарифов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97A8B" w:rsidRDefault="00197A8B" w:rsidP="003015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A02B13" w:rsidTr="000526DD">
        <w:trPr>
          <w:trHeight w:val="261"/>
        </w:trPr>
        <w:tc>
          <w:tcPr>
            <w:tcW w:w="570" w:type="dxa"/>
            <w:shd w:val="solid" w:color="FFFFFF" w:fill="auto"/>
          </w:tcPr>
          <w:p w:rsidR="00A02B13" w:rsidRDefault="00A02B13" w:rsidP="00E532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32A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96" w:type="dxa"/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Изменение анкетных данных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A02B13" w:rsidRPr="00B94525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E4532" w:rsidRPr="00B9452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A02B13" w:rsidTr="00E532A8">
        <w:trPr>
          <w:trHeight w:val="461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2C2B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Разблокировка Счета депо после погашения задолженности по оплате услуг Депозитария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solid" w:color="FFFFFF" w:fill="auto"/>
            <w:vAlign w:val="center"/>
          </w:tcPr>
          <w:p w:rsidR="00A02B13" w:rsidRPr="00AE4532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Pr="00AE4532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Default="00F8370C" w:rsidP="00E532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каждую операцию разблокировки</w:t>
            </w:r>
            <w:r w:rsidR="00E532A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связанн</w:t>
            </w:r>
            <w:r w:rsidR="00E532A8">
              <w:rPr>
                <w:color w:val="000000"/>
                <w:sz w:val="18"/>
                <w:szCs w:val="18"/>
              </w:rPr>
              <w:t>ую с</w:t>
            </w:r>
            <w:r>
              <w:rPr>
                <w:color w:val="000000"/>
                <w:sz w:val="18"/>
                <w:szCs w:val="18"/>
              </w:rPr>
              <w:t xml:space="preserve"> несвоевременной оплатой</w:t>
            </w:r>
            <w:r w:rsidR="00E532A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2B13" w:rsidTr="000526DD">
        <w:trPr>
          <w:trHeight w:val="112"/>
        </w:trPr>
        <w:tc>
          <w:tcPr>
            <w:tcW w:w="15623" w:type="dxa"/>
            <w:gridSpan w:val="6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Учет и</w:t>
            </w:r>
            <w:r w:rsidR="00734E58">
              <w:rPr>
                <w:color w:val="000000"/>
                <w:sz w:val="18"/>
                <w:szCs w:val="18"/>
              </w:rPr>
              <w:t>/или</w:t>
            </w:r>
            <w:r>
              <w:rPr>
                <w:color w:val="000000"/>
                <w:sz w:val="18"/>
                <w:szCs w:val="18"/>
              </w:rPr>
              <w:t xml:space="preserve"> хранение ценных бумаг</w:t>
            </w:r>
            <w:r w:rsidR="007E163C">
              <w:rPr>
                <w:color w:val="000000"/>
                <w:sz w:val="18"/>
                <w:szCs w:val="18"/>
              </w:rPr>
              <w:t>:</w:t>
            </w:r>
          </w:p>
        </w:tc>
      </w:tr>
      <w:tr w:rsidR="0091625C" w:rsidTr="000526DD">
        <w:trPr>
          <w:trHeight w:val="184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1D4C17" w:rsidP="007E163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Облигации</w:t>
            </w:r>
            <w:r w:rsidR="008D3993">
              <w:rPr>
                <w:rStyle w:val="a5"/>
                <w:color w:val="000000"/>
                <w:sz w:val="18"/>
                <w:szCs w:val="18"/>
              </w:rPr>
              <w:endnoteReference w:id="1"/>
            </w:r>
            <w:r w:rsidR="00ED5C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8457BF" w:rsidP="00916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91625C" w:rsidTr="000526DD">
        <w:trPr>
          <w:trHeight w:val="246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19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500 000 000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Pr="00D279BB" w:rsidRDefault="00BF76D0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  <w:r w:rsidR="00A120BB">
              <w:rPr>
                <w:bCs/>
                <w:sz w:val="18"/>
                <w:szCs w:val="18"/>
              </w:rPr>
              <w:t>0</w:t>
            </w:r>
            <w:r w:rsidR="00840AD1">
              <w:rPr>
                <w:bCs/>
                <w:sz w:val="18"/>
                <w:szCs w:val="18"/>
              </w:rPr>
              <w:t>2</w:t>
            </w:r>
            <w:r w:rsidR="0091625C"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B44BF4">
              <w:rPr>
                <w:bCs/>
                <w:sz w:val="18"/>
                <w:szCs w:val="18"/>
              </w:rPr>
              <w:t>0</w:t>
            </w:r>
            <w:r w:rsidR="0091625C">
              <w:rPr>
                <w:bCs/>
                <w:sz w:val="18"/>
                <w:szCs w:val="18"/>
              </w:rPr>
              <w:t>000 руб. + 0,00</w:t>
            </w:r>
            <w:r>
              <w:rPr>
                <w:bCs/>
                <w:sz w:val="18"/>
                <w:szCs w:val="18"/>
              </w:rPr>
              <w:t>18</w:t>
            </w:r>
            <w:r w:rsidR="0091625C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 w:rsidR="00A120BB">
              <w:rPr>
                <w:bCs/>
                <w:sz w:val="18"/>
                <w:szCs w:val="18"/>
              </w:rPr>
              <w:t xml:space="preserve"> 000</w:t>
            </w:r>
            <w:r w:rsidR="0091625C">
              <w:rPr>
                <w:bCs/>
                <w:sz w:val="18"/>
                <w:szCs w:val="18"/>
              </w:rPr>
              <w:t xml:space="preserve"> руб. + 0,00</w:t>
            </w:r>
            <w:r>
              <w:rPr>
                <w:bCs/>
                <w:sz w:val="18"/>
                <w:szCs w:val="18"/>
              </w:rPr>
              <w:t>15</w:t>
            </w:r>
            <w:r w:rsidR="0091625C">
              <w:rPr>
                <w:bCs/>
                <w:sz w:val="18"/>
                <w:szCs w:val="18"/>
              </w:rPr>
              <w:t xml:space="preserve">% от стоимости остатка ценных бумаг, превышающей </w:t>
            </w:r>
            <w:r w:rsidR="00F8370C">
              <w:rPr>
                <w:bCs/>
                <w:sz w:val="18"/>
                <w:szCs w:val="18"/>
              </w:rPr>
              <w:t>1</w:t>
            </w:r>
            <w:r w:rsidR="0091625C">
              <w:rPr>
                <w:bCs/>
                <w:sz w:val="18"/>
                <w:szCs w:val="18"/>
              </w:rPr>
              <w:t xml:space="preserve"> мл</w:t>
            </w:r>
            <w:r w:rsidR="00F8370C">
              <w:rPr>
                <w:bCs/>
                <w:sz w:val="18"/>
                <w:szCs w:val="18"/>
              </w:rPr>
              <w:t>р</w:t>
            </w:r>
            <w:r w:rsidR="0091625C">
              <w:rPr>
                <w:bCs/>
                <w:sz w:val="18"/>
                <w:szCs w:val="18"/>
              </w:rPr>
              <w:t>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&gt; </w:t>
            </w:r>
            <w:r w:rsidR="00F8370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91625C" w:rsidRDefault="00840AD1" w:rsidP="00B44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  <w:r w:rsidR="00DE1FFD">
              <w:rPr>
                <w:color w:val="000000"/>
                <w:sz w:val="18"/>
                <w:szCs w:val="18"/>
              </w:rPr>
              <w:t xml:space="preserve"> </w:t>
            </w:r>
            <w:r w:rsidR="00F8370C">
              <w:rPr>
                <w:color w:val="000000"/>
                <w:sz w:val="18"/>
                <w:szCs w:val="18"/>
              </w:rPr>
              <w:t>000 +0,0012% от стоимости остатка ценных бумаг, превышающей 10 млрд. руб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ED5CDB" w:rsidP="007643B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06368D" w:rsidP="004A0B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Акции</w:t>
            </w:r>
            <w:r w:rsidR="001D4C17">
              <w:rPr>
                <w:color w:val="000000"/>
                <w:sz w:val="18"/>
                <w:szCs w:val="18"/>
              </w:rPr>
              <w:t>,</w:t>
            </w:r>
            <w:r w:rsidR="005C64AD">
              <w:rPr>
                <w:color w:val="000000"/>
                <w:sz w:val="18"/>
                <w:szCs w:val="18"/>
              </w:rPr>
              <w:t xml:space="preserve"> за исключением акций ОАО «Газпром»</w:t>
            </w:r>
            <w:r w:rsidR="005C64AD">
              <w:rPr>
                <w:rStyle w:val="a5"/>
                <w:color w:val="000000"/>
                <w:sz w:val="18"/>
                <w:szCs w:val="18"/>
              </w:rPr>
              <w:endnoteReference w:id="2"/>
            </w:r>
            <w:r w:rsidR="005C64AD">
              <w:rPr>
                <w:color w:val="000000"/>
                <w:sz w:val="18"/>
                <w:szCs w:val="18"/>
              </w:rPr>
              <w:t>,</w:t>
            </w:r>
            <w:r w:rsidR="001D4C17">
              <w:rPr>
                <w:color w:val="000000"/>
                <w:sz w:val="18"/>
                <w:szCs w:val="18"/>
              </w:rPr>
              <w:t xml:space="preserve"> депозитарные расписки</w:t>
            </w:r>
            <w:r w:rsidR="007E163C">
              <w:rPr>
                <w:color w:val="000000"/>
                <w:sz w:val="18"/>
                <w:szCs w:val="18"/>
              </w:rPr>
              <w:t>, инвестиционные паи</w:t>
            </w:r>
            <w:r w:rsidR="004A0B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Pr="008457BF" w:rsidRDefault="008457BF" w:rsidP="000F7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  <w:r w:rsidR="000F7C06">
              <w:rPr>
                <w:sz w:val="18"/>
                <w:szCs w:val="18"/>
              </w:rPr>
              <w:t xml:space="preserve">. </w:t>
            </w: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91625C">
              <w:rPr>
                <w:bCs/>
                <w:sz w:val="18"/>
                <w:szCs w:val="18"/>
              </w:rPr>
              <w:t>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="00840AD1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 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91625C">
              <w:rPr>
                <w:bCs/>
                <w:sz w:val="18"/>
                <w:szCs w:val="18"/>
              </w:rPr>
              <w:t>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063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C468F">
              <w:rPr>
                <w:bCs/>
                <w:sz w:val="18"/>
                <w:szCs w:val="18"/>
              </w:rPr>
              <w:t xml:space="preserve"> 000</w:t>
            </w:r>
            <w:r w:rsidR="0006368D">
              <w:rPr>
                <w:bCs/>
                <w:sz w:val="18"/>
                <w:szCs w:val="18"/>
              </w:rPr>
              <w:t xml:space="preserve"> руб. + 0,001</w:t>
            </w:r>
            <w:r w:rsidR="00CC468F">
              <w:rPr>
                <w:bCs/>
                <w:sz w:val="18"/>
                <w:szCs w:val="18"/>
              </w:rPr>
              <w:t xml:space="preserve"> 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100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0636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</w:t>
            </w:r>
            <w:r w:rsidR="0006368D">
              <w:rPr>
                <w:bCs/>
                <w:sz w:val="18"/>
                <w:szCs w:val="18"/>
              </w:rPr>
              <w:t>00 руб. + 0,00</w:t>
            </w:r>
            <w:r>
              <w:rPr>
                <w:bCs/>
                <w:sz w:val="18"/>
                <w:szCs w:val="18"/>
              </w:rPr>
              <w:t>09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5B1B4E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5B1B4E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&gt; 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CC468F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40AD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40AD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</w:t>
            </w:r>
            <w:r w:rsidR="0006368D">
              <w:rPr>
                <w:color w:val="000000"/>
                <w:sz w:val="18"/>
                <w:szCs w:val="18"/>
              </w:rPr>
              <w:t xml:space="preserve"> руб. +0,000</w:t>
            </w:r>
            <w:r w:rsidR="00840AD1">
              <w:rPr>
                <w:color w:val="000000"/>
                <w:sz w:val="18"/>
                <w:szCs w:val="18"/>
              </w:rPr>
              <w:t>7</w:t>
            </w:r>
            <w:r w:rsidR="0006368D">
              <w:rPr>
                <w:color w:val="000000"/>
                <w:sz w:val="18"/>
                <w:szCs w:val="18"/>
              </w:rPr>
              <w:t>% от стоимости остатка ценных бумаг, превышающей 1 млрд. руб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0F7C06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7E163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Хранение сертификатов ценных бумаг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1D4C17" w:rsidRPr="000F7C06" w:rsidRDefault="001D4C17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7E163C">
              <w:rPr>
                <w:color w:val="000000"/>
                <w:sz w:val="18"/>
                <w:szCs w:val="18"/>
              </w:rPr>
              <w:t xml:space="preserve">05 </w:t>
            </w:r>
            <w:r>
              <w:rPr>
                <w:color w:val="000000"/>
                <w:sz w:val="18"/>
                <w:szCs w:val="18"/>
              </w:rPr>
              <w:t>% стоимости остатка ценных бумаг в месяц</w:t>
            </w:r>
            <w:r w:rsidR="000F7C06">
              <w:rPr>
                <w:color w:val="000000"/>
                <w:sz w:val="18"/>
                <w:szCs w:val="18"/>
              </w:rPr>
              <w:t xml:space="preserve">, </w:t>
            </w:r>
            <w:r w:rsidR="000F7C06">
              <w:rPr>
                <w:color w:val="000000"/>
                <w:sz w:val="18"/>
                <w:szCs w:val="18"/>
                <w:lang w:val="en-US"/>
              </w:rPr>
              <w:t>min</w:t>
            </w:r>
            <w:r w:rsidR="000F7C06" w:rsidRPr="000F7C06">
              <w:rPr>
                <w:color w:val="000000"/>
                <w:sz w:val="18"/>
                <w:szCs w:val="18"/>
              </w:rPr>
              <w:t xml:space="preserve"> 50 </w:t>
            </w:r>
            <w:r w:rsidR="000F7C06">
              <w:rPr>
                <w:color w:val="000000"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1D4C17" w:rsidRDefault="007E163C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AF43A4" w:rsidTr="00EE5C27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F43A4" w:rsidRDefault="00AF43A4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F43A4" w:rsidRDefault="00AF43A4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Учет прав на ценные бумаги, не имеющие рыночной стоимости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AF43A4" w:rsidRDefault="00AF43A4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F43A4" w:rsidRPr="008457BF" w:rsidRDefault="00AF43A4" w:rsidP="005B1B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 xml:space="preserve">Ставка взимается за один </w:t>
            </w:r>
            <w:r>
              <w:rPr>
                <w:sz w:val="18"/>
                <w:szCs w:val="18"/>
              </w:rPr>
              <w:t xml:space="preserve">(за каждый) </w:t>
            </w:r>
            <w:r w:rsidRPr="005B1B4E">
              <w:rPr>
                <w:sz w:val="18"/>
                <w:szCs w:val="18"/>
              </w:rPr>
              <w:t>выпуск ценных бумаг на счет</w:t>
            </w:r>
            <w:r>
              <w:rPr>
                <w:sz w:val="18"/>
                <w:szCs w:val="18"/>
              </w:rPr>
              <w:t>е депо, но не более 3000 рублей в месяц.</w:t>
            </w:r>
          </w:p>
        </w:tc>
      </w:tr>
      <w:tr w:rsidR="007643B8" w:rsidTr="000526DD">
        <w:trPr>
          <w:trHeight w:val="295"/>
        </w:trPr>
        <w:tc>
          <w:tcPr>
            <w:tcW w:w="15623" w:type="dxa"/>
            <w:gridSpan w:val="6"/>
            <w:shd w:val="solid" w:color="FFFFFF" w:fill="auto"/>
          </w:tcPr>
          <w:p w:rsidR="007643B8" w:rsidRPr="00EA7B94" w:rsidRDefault="007643B8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lastRenderedPageBreak/>
              <w:t>3. Инвентарные операции, исполняемые на основании Поручения Депонента или уполномоченного лица Депонента</w:t>
            </w:r>
          </w:p>
        </w:tc>
      </w:tr>
      <w:tr w:rsidR="00FC13B2" w:rsidTr="000526DD">
        <w:trPr>
          <w:trHeight w:val="288"/>
        </w:trPr>
        <w:tc>
          <w:tcPr>
            <w:tcW w:w="570" w:type="dxa"/>
            <w:shd w:val="solid" w:color="FFFFFF" w:fill="auto"/>
          </w:tcPr>
          <w:p w:rsidR="00FC13B2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916A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 ценных бум</w:t>
            </w:r>
            <w:r w:rsidR="00916A57">
              <w:rPr>
                <w:color w:val="000000"/>
                <w:sz w:val="18"/>
                <w:szCs w:val="18"/>
              </w:rPr>
              <w:t>аг</w:t>
            </w:r>
            <w:r>
              <w:rPr>
                <w:color w:val="000000"/>
                <w:sz w:val="18"/>
                <w:szCs w:val="18"/>
              </w:rPr>
              <w:t xml:space="preserve"> на учет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FC13B2" w:rsidRDefault="00FC13B2" w:rsidP="00FC13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655"/>
        </w:trPr>
        <w:tc>
          <w:tcPr>
            <w:tcW w:w="570" w:type="dxa"/>
            <w:shd w:val="solid" w:color="FFFFFF" w:fill="auto"/>
          </w:tcPr>
          <w:p w:rsidR="001D4C17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996" w:type="dxa"/>
            <w:shd w:val="solid" w:color="FFFFFF" w:fill="auto"/>
          </w:tcPr>
          <w:p w:rsidR="001D4C17" w:rsidRDefault="001D4C17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ED5CDB">
              <w:rPr>
                <w:color w:val="000000"/>
                <w:sz w:val="18"/>
                <w:szCs w:val="18"/>
              </w:rPr>
              <w:t>рием/снятие ценных бума с учета</w:t>
            </w:r>
            <w:r>
              <w:rPr>
                <w:color w:val="000000"/>
                <w:sz w:val="18"/>
                <w:szCs w:val="18"/>
              </w:rPr>
              <w:t xml:space="preserve"> по результатам операций, совершенных через Организаторов торговли на рынке ценных бумаг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D4C17" w:rsidRDefault="001D4C17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EC1B85" w:rsidTr="00EC0C09">
        <w:trPr>
          <w:trHeight w:val="655"/>
        </w:trPr>
        <w:tc>
          <w:tcPr>
            <w:tcW w:w="570" w:type="dxa"/>
            <w:shd w:val="solid" w:color="FFFFFF" w:fill="auto"/>
          </w:tcPr>
          <w:p w:rsidR="00EC1B85" w:rsidRDefault="00EC1B85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996" w:type="dxa"/>
            <w:shd w:val="solid" w:color="FFFFFF" w:fill="auto"/>
          </w:tcPr>
          <w:p w:rsidR="00EC1B85" w:rsidRPr="00FC13B2" w:rsidRDefault="00EC1B85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Прием/снятие ценных бумаг с учета с использованием услуг международных расчетно-клиринговых организаций на условиях «</w:t>
            </w:r>
            <w:r>
              <w:rPr>
                <w:color w:val="000000"/>
                <w:sz w:val="18"/>
                <w:szCs w:val="18"/>
                <w:lang w:val="en-US"/>
              </w:rPr>
              <w:t>Delivery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Versus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Payment</w:t>
            </w:r>
            <w:r w:rsidRPr="00FC13B2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DVP</w:t>
            </w:r>
            <w:r w:rsidRPr="00FC13B2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  <w:lang w:val="en-US"/>
              </w:rPr>
              <w:t>settlement</w:t>
            </w:r>
            <w:r>
              <w:rPr>
                <w:color w:val="000000"/>
                <w:sz w:val="18"/>
                <w:szCs w:val="18"/>
              </w:rPr>
              <w:t>»</w:t>
            </w:r>
            <w:r>
              <w:rPr>
                <w:rStyle w:val="a5"/>
                <w:color w:val="000000"/>
                <w:sz w:val="18"/>
                <w:szCs w:val="18"/>
              </w:rPr>
              <w:endnoteReference w:id="3"/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EC1B85" w:rsidRDefault="00EC1B85" w:rsidP="00EC1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EC1B85" w:rsidRDefault="00EC1B85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476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96" w:type="dxa"/>
            <w:shd w:val="solid" w:color="FFFFFF" w:fill="auto"/>
          </w:tcPr>
          <w:p w:rsidR="00FC13B2" w:rsidRPr="00EA7B94" w:rsidRDefault="00FC13B2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t>Переводы ценных бумаг между Счетами депо в Депозитарии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6F5B6E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417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Переводы ценных бумаг между Счетами депо одного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184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96" w:type="dxa"/>
            <w:shd w:val="solid" w:color="FFFFFF" w:fill="auto"/>
          </w:tcPr>
          <w:p w:rsidR="00FC13B2" w:rsidRPr="00ED5CDB" w:rsidRDefault="00FC13B2" w:rsidP="00ED5C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Прием </w:t>
            </w:r>
            <w:r w:rsidR="00ED5CDB">
              <w:rPr>
                <w:color w:val="000000"/>
                <w:sz w:val="18"/>
                <w:szCs w:val="18"/>
              </w:rPr>
              <w:t>сертификатов ценных бумаг на хранение</w:t>
            </w:r>
          </w:p>
        </w:tc>
        <w:tc>
          <w:tcPr>
            <w:tcW w:w="7655" w:type="dxa"/>
            <w:gridSpan w:val="3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руб.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сертификат ценной бумаги</w:t>
            </w:r>
          </w:p>
        </w:tc>
      </w:tr>
      <w:tr w:rsidR="00FC13B2" w:rsidTr="000526DD">
        <w:trPr>
          <w:trHeight w:val="231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96" w:type="dxa"/>
            <w:shd w:val="solid" w:color="FFFFFF" w:fill="auto"/>
          </w:tcPr>
          <w:p w:rsidR="00FC13B2" w:rsidRDefault="00ED5CD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Снятие ценных бумаг с учета 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50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Поручения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329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Комплексные операции</w:t>
            </w:r>
          </w:p>
        </w:tc>
      </w:tr>
      <w:tr w:rsidR="00FC13B2" w:rsidTr="000526DD">
        <w:trPr>
          <w:trHeight w:val="328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Регистрация возникновения/прекращения залога/заклада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22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Осуществление Глобальных депозитарных операций (конвертация, консолидация, дробление, погашение и др.) – бесплатно</w:t>
            </w:r>
          </w:p>
        </w:tc>
      </w:tr>
      <w:tr w:rsidR="00FC13B2" w:rsidTr="000526DD">
        <w:trPr>
          <w:trHeight w:val="254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Информационные операции</w:t>
            </w:r>
          </w:p>
        </w:tc>
      </w:tr>
      <w:tr w:rsidR="00916A57" w:rsidTr="000526DD">
        <w:trPr>
          <w:trHeight w:val="384"/>
        </w:trPr>
        <w:tc>
          <w:tcPr>
            <w:tcW w:w="570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3996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клиентам отчета о выполнении депозитарной операции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916A57" w:rsidRDefault="00916A57" w:rsidP="00916A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FC13B2" w:rsidTr="000526DD">
        <w:trPr>
          <w:trHeight w:val="489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Повторное предоставление клиентам отчета о выполнении депозитарной операции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отчет</w:t>
            </w:r>
          </w:p>
        </w:tc>
      </w:tr>
      <w:tr w:rsidR="00FC13B2" w:rsidTr="000526DD">
        <w:trPr>
          <w:trHeight w:val="695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Депоненту выписок по факсу, по электронной почте или лично на основании запроса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выписку</w:t>
            </w:r>
          </w:p>
        </w:tc>
      </w:tr>
    </w:tbl>
    <w:p w:rsidR="00334AC7" w:rsidRPr="002C2BE4" w:rsidRDefault="00334AC7" w:rsidP="00334AC7">
      <w:pPr>
        <w:pStyle w:val="BodyTextIndent21"/>
        <w:keepNext/>
        <w:keepLines/>
        <w:spacing w:before="120" w:after="120"/>
        <w:ind w:left="0" w:firstLine="0"/>
        <w:rPr>
          <w:rFonts w:ascii="Times New Roman" w:hAnsi="Times New Roman"/>
          <w:sz w:val="16"/>
          <w:szCs w:val="16"/>
        </w:rPr>
      </w:pPr>
      <w:r w:rsidRPr="002C2BE4">
        <w:rPr>
          <w:rFonts w:ascii="Times New Roman" w:hAnsi="Times New Roman"/>
          <w:sz w:val="16"/>
          <w:szCs w:val="16"/>
        </w:rPr>
        <w:lastRenderedPageBreak/>
        <w:t>Порядок определения стоимости остатка ценных бумаг на счете депо.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Тарифы комиссионного возн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>аграждения за услуги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Тарифы) определяют размер оплаты депозитарных услуг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Депозитарий)</w:t>
      </w:r>
      <w:r w:rsidR="000714CB" w:rsidRPr="002C2BE4">
        <w:rPr>
          <w:rFonts w:ascii="Times New Roman" w:hAnsi="Times New Roman"/>
          <w:b w:val="0"/>
          <w:bCs/>
          <w:sz w:val="16"/>
          <w:szCs w:val="16"/>
        </w:rPr>
        <w:t>, предоставляемых Депонентам</w:t>
      </w:r>
      <w:r w:rsidRPr="002C2BE4">
        <w:rPr>
          <w:rFonts w:ascii="Times New Roman" w:hAnsi="Times New Roman"/>
          <w:b w:val="0"/>
          <w:bCs/>
          <w:sz w:val="16"/>
          <w:szCs w:val="16"/>
        </w:rPr>
        <w:t>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Размер оплаты депозитарных услуг Депозитария установлен в рублях без учета НДС, если иное прямо не указано в Тарифах.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Оплата услуг Депозитария осуществляется в порядке и сроки установленные Условиями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Плата за услуги по хранению ценных бумаг и/или учету прав на ценные бумаги может включать иные услуги, оказываемые Депозитарием Депоненту. Стоимость услуг, порядок расчетов в этом случае, оговаривается с Депонентом путем заключения дополнительного соглашения к Условиям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«Совкомбанк»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 Заключение указанных соглашений остается на усмотрение Депозитария.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определении размера оплаты услуг Депозитария по хранению и/или учету прав на ценные бумаги из расчета стоимости остатка ценных бумаг исключаются ценные бумаги, срок обращения которых истек.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Для целей  определения размеров оплаты услуг Депозитария различные виды ценных бумаг объединены в группы, указанные в соответствующих пунктах Тарифов. 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Ежемесячная плата за услуги по хранению ценных бумаг и/или учету прав на ценные бумаги определяется как сумма величин, исчисленных в соответствии с указанными в Тарифах ставками ежемесячной платы за услуги по хранению ценных бумаг и/или учету прав на ценные бумаги каждой группы.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Стоимость остатка ценных бумаг рассчитывается как сумма средневзвешенных стоимостей остатков всех выпусков ценных бумаг данной группы, учитываемых на счете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(счетах)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Депонента в расчетном месяце, по календарным дням месяца. Стоимость остатка по каждому выпуску ценных бумаг за календарный день определяется как произведение остатка в штуках на конец дня на рыночную цену ценных бумаг этого выпуска. Для выходных и праздничных дней значения остатка в штуках и рыночной цены выпуска принимаются равными значениям за предшествующий рабочий день. Рыночная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стоимость для определения размера Тарифа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определяется </w:t>
      </w:r>
      <w:r w:rsidR="00AD7F34" w:rsidRPr="002C2BE4">
        <w:rPr>
          <w:rFonts w:ascii="Times New Roman" w:hAnsi="Times New Roman"/>
          <w:b w:val="0"/>
          <w:bCs/>
          <w:sz w:val="16"/>
          <w:szCs w:val="16"/>
        </w:rPr>
        <w:t>в следующем порядке:</w:t>
      </w:r>
    </w:p>
    <w:p w:rsidR="008457BF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рыночной стоимости акций акционерных обществ, инвестиционных паев паевых инвестиционных фондов и депозитарных расписок используется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доступная Депозитарию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информация, официально предоставляемая организаторами торговли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риоритетной считается цена ценной бумаги, рассчитанная ММВБ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(рыночная цена (3))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. </w:t>
      </w:r>
    </w:p>
    <w:p w:rsidR="00334AC7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ри отсутствии данных о р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ыночной цене акций конкретного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эмитента или конкретного вы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пуска депозитарных расписок или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 xml:space="preserve"> инвестиционных паев конкретного паевого инвестиционного фонда для оценки рыночной стоимости принимается последняя по времени рыночная цена по предоставленным данным за последние 90 торговых дней;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отсутствии данных о рыночной цене ценных бумаг конкретного эмитента за последние 90 торговых дней, рыночная цена этих ценных бумаг принимается равной нулю;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если при оценке стоимости конкретной ценной бумаги Организатором торговли предоставлено более одного значения ее рыночной цены, то используется среднее арифметическое значение;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федеральных, субфедеральных и муниципальных облигационных займов, а также еврооблигаций и корпоративных облигаций для целей настоящего документа рыночной ценой считается величина номинальной стоимости соответствующей облигации;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настоящего документа рыночной ценой считается величина непогашенной части номинальной стоимости соответствующей облигации;</w:t>
      </w:r>
    </w:p>
    <w:p w:rsidR="007E163C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настоящего документа рыночной ценой считается номинальная стоимость соответствующей облигации.</w:t>
      </w:r>
    </w:p>
    <w:p w:rsidR="00AD7F34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о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пределяемый в соответствии с настоящим документом показатель «рыночная стоимость ценных бумаг» выражается в рублях Российской Федерации. При использовании в расчетах рыночных цен, выраженных в иностранной валюте, рыночная стоимость соответствующих ценных бумаг в иностранной валюте пересчитывается в рубли Российской Федерации по курсу, установленному Центральным банком Российской Федерации на дату расчетов. Если Центральный банк Российской Федерации не устанавливает курс по валюте, в которой рассчитана рыночная стоимость соответствующей ценной бумаги, то используется средняя цена из информации, предоставленной Информационным агентом для расчета курса такой валюты в рублях в соответствии с рекомендациями Центрального банка Российской Федерации.</w:t>
      </w:r>
    </w:p>
    <w:p w:rsidR="007E163C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стоимости хранения сертификатов ценных бумаг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,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 xml:space="preserve">для целей настоящего документа рыночной ценой признается 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суммарная номинальная стоимость всех серти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фикатов ценных бумаг, помещенных Депонентом на хранение.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Плата за услуги Депозитария по исполнению инвентарных операций по счету</w:t>
      </w:r>
      <w:r w:rsidR="004718D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(счетам)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 взимается за количество исполненных операций.</w:t>
      </w:r>
    </w:p>
    <w:p w:rsidR="005C64AD" w:rsidRPr="002C2BE4" w:rsidRDefault="005C64AD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Ставки ежемесячной платы за услуги по учету прав на акции ОАО «Газпром» рассчитываются следующим образом:</w:t>
      </w:r>
    </w:p>
    <w:p w:rsidR="005C64AD" w:rsidRDefault="005C64AD" w:rsidP="005C64AD">
      <w:pPr>
        <w:pStyle w:val="BodyTextIndent21"/>
        <w:keepNext/>
        <w:keepLines/>
        <w:numPr>
          <w:ilvl w:val="0"/>
          <w:numId w:val="5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к процентным ставкам, указанным в п.2.2 Тарифов прибавляется 0,001.</w:t>
      </w:r>
    </w:p>
    <w:p w:rsidR="00D17586" w:rsidRPr="002C2BE4" w:rsidRDefault="00D17586" w:rsidP="00D17586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>
        <w:rPr>
          <w:rFonts w:ascii="Times New Roman" w:hAnsi="Times New Roman"/>
          <w:b w:val="0"/>
          <w:bCs/>
          <w:sz w:val="16"/>
          <w:szCs w:val="16"/>
        </w:rPr>
        <w:t>Дополнительно к рассчитанной стоим</w:t>
      </w:r>
      <w:r w:rsidR="00A72DE3">
        <w:rPr>
          <w:rFonts w:ascii="Times New Roman" w:hAnsi="Times New Roman"/>
          <w:b w:val="0"/>
          <w:bCs/>
          <w:sz w:val="16"/>
          <w:szCs w:val="16"/>
        </w:rPr>
        <w:t>ости комиссии, Депозитарий вправе взыскивать с Депонента расходы, понесенные Депозитарием при исполнении поручения Депонента.</w:t>
      </w:r>
    </w:p>
    <w:sectPr w:rsidR="00D17586" w:rsidRPr="002C2BE4" w:rsidSect="002C2BE4">
      <w:headerReference w:type="default" r:id="rId9"/>
      <w:footerReference w:type="default" r:id="rId10"/>
      <w:headerReference w:type="first" r:id="rId11"/>
      <w:footnotePr>
        <w:pos w:val="beneathText"/>
      </w:footnotePr>
      <w:endnotePr>
        <w:numFmt w:val="decimal"/>
      </w:endnotePr>
      <w:pgSz w:w="16838" w:h="11906" w:orient="landscape"/>
      <w:pgMar w:top="1080" w:right="678" w:bottom="426" w:left="5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D6" w:rsidRDefault="007F5FD6">
      <w:r>
        <w:separator/>
      </w:r>
    </w:p>
  </w:endnote>
  <w:endnote w:type="continuationSeparator" w:id="0">
    <w:p w:rsidR="007F5FD6" w:rsidRDefault="007F5FD6">
      <w:r>
        <w:continuationSeparator/>
      </w:r>
    </w:p>
  </w:endnote>
  <w:endnote w:id="1">
    <w:p w:rsidR="008D3993" w:rsidRPr="002C2BE4" w:rsidRDefault="008D3993">
      <w:pPr>
        <w:pStyle w:val="a4"/>
        <w:rPr>
          <w:sz w:val="16"/>
          <w:szCs w:val="16"/>
        </w:rPr>
      </w:pPr>
      <w:r>
        <w:rPr>
          <w:rStyle w:val="a5"/>
        </w:rPr>
        <w:endnoteRef/>
      </w:r>
      <w:r>
        <w:t xml:space="preserve"> </w:t>
      </w:r>
      <w:r w:rsidR="004A0B7E" w:rsidRPr="002C2BE4">
        <w:rPr>
          <w:sz w:val="16"/>
          <w:szCs w:val="16"/>
        </w:rPr>
        <w:t>Для ценных бумаг, выпущенных иностранными эмитентами т</w:t>
      </w:r>
      <w:r w:rsidRPr="002C2BE4">
        <w:rPr>
          <w:sz w:val="16"/>
          <w:szCs w:val="16"/>
        </w:rPr>
        <w:t xml:space="preserve">ариф взимается в случае хранения и/или учета ценных бумаг в международных депозитариях </w:t>
      </w:r>
      <w:r w:rsidRPr="002C2BE4">
        <w:rPr>
          <w:sz w:val="16"/>
          <w:szCs w:val="16"/>
          <w:lang w:val="en-US"/>
        </w:rPr>
        <w:t>Euroclear</w:t>
      </w:r>
      <w:r w:rsidRPr="002C2BE4">
        <w:rPr>
          <w:sz w:val="16"/>
          <w:szCs w:val="16"/>
        </w:rPr>
        <w:t xml:space="preserve">, </w:t>
      </w:r>
      <w:r w:rsidRPr="002C2BE4">
        <w:rPr>
          <w:sz w:val="16"/>
          <w:szCs w:val="16"/>
          <w:lang w:val="en-US"/>
        </w:rPr>
        <w:t>Clearstream</w:t>
      </w:r>
      <w:r w:rsidRPr="002C2BE4">
        <w:rPr>
          <w:sz w:val="16"/>
          <w:szCs w:val="16"/>
        </w:rPr>
        <w:t xml:space="preserve">. В случае хранения и/или учета ценных бумаг в иных Депозитариях, </w:t>
      </w:r>
      <w:r w:rsidR="004A0B7E" w:rsidRPr="002C2BE4">
        <w:rPr>
          <w:sz w:val="16"/>
          <w:szCs w:val="16"/>
        </w:rPr>
        <w:t>комиссия Депозитария устанавливается</w:t>
      </w:r>
      <w:r w:rsidRPr="002C2BE4">
        <w:rPr>
          <w:sz w:val="16"/>
          <w:szCs w:val="16"/>
        </w:rPr>
        <w:t xml:space="preserve">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  <w:endnote w:id="2">
    <w:p w:rsidR="005C64AD" w:rsidRPr="002C2BE4" w:rsidRDefault="005C64AD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Ставки ежемесячной платы за услуги по учету прав на акции ОАО «Газпром»</w:t>
      </w:r>
      <w:r w:rsidR="000D5876" w:rsidRPr="002C2BE4">
        <w:rPr>
          <w:sz w:val="16"/>
          <w:szCs w:val="16"/>
        </w:rPr>
        <w:t xml:space="preserve"> составляют ставки</w:t>
      </w:r>
      <w:r w:rsidRPr="002C2BE4">
        <w:rPr>
          <w:sz w:val="16"/>
          <w:szCs w:val="16"/>
        </w:rPr>
        <w:t>, указанные в п. 2.2 настоящих Тарифов, увеличенные на 0,001</w:t>
      </w:r>
      <w:r w:rsidR="000D5876" w:rsidRPr="002C2BE4">
        <w:rPr>
          <w:sz w:val="16"/>
          <w:szCs w:val="16"/>
        </w:rPr>
        <w:t xml:space="preserve">. </w:t>
      </w:r>
    </w:p>
  </w:endnote>
  <w:endnote w:id="3">
    <w:p w:rsidR="00EC1B85" w:rsidRPr="002C2BE4" w:rsidRDefault="00EC1B85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Тариф взимается в случае осуществления расчетов в международных депозитариях </w:t>
      </w:r>
      <w:r w:rsidRPr="002C2BE4">
        <w:rPr>
          <w:sz w:val="16"/>
          <w:szCs w:val="16"/>
          <w:lang w:val="en-US"/>
        </w:rPr>
        <w:t>Euroclear</w:t>
      </w:r>
      <w:r w:rsidRPr="002C2BE4">
        <w:rPr>
          <w:sz w:val="16"/>
          <w:szCs w:val="16"/>
        </w:rPr>
        <w:t xml:space="preserve">, </w:t>
      </w:r>
      <w:r w:rsidRPr="002C2BE4">
        <w:rPr>
          <w:sz w:val="16"/>
          <w:szCs w:val="16"/>
          <w:lang w:val="en-US"/>
        </w:rPr>
        <w:t>Clearstream</w:t>
      </w:r>
      <w:r w:rsidRPr="002C2BE4">
        <w:rPr>
          <w:sz w:val="16"/>
          <w:szCs w:val="16"/>
        </w:rPr>
        <w:t>. Расчеты, производимые в иных Депозитариях, оплачиваются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7C" w:rsidRPr="002C2BE4" w:rsidRDefault="00491B7C" w:rsidP="00D95234">
    <w:pPr>
      <w:pStyle w:val="a8"/>
      <w:jc w:val="both"/>
      <w:rPr>
        <w:sz w:val="16"/>
        <w:szCs w:val="16"/>
      </w:rPr>
    </w:pPr>
    <w:r w:rsidRPr="002C2BE4">
      <w:rPr>
        <w:sz w:val="16"/>
        <w:szCs w:val="16"/>
      </w:rPr>
      <w:t xml:space="preserve">С Тарифами комиссионного вознаграждения за услуги Депозитария </w:t>
    </w:r>
    <w:r w:rsidR="00756E81">
      <w:rPr>
        <w:sz w:val="16"/>
        <w:szCs w:val="16"/>
      </w:rPr>
      <w:t>ПАО</w:t>
    </w:r>
    <w:r w:rsidRPr="002C2BE4">
      <w:rPr>
        <w:sz w:val="16"/>
        <w:szCs w:val="16"/>
      </w:rPr>
      <w:t xml:space="preserve"> «Совкомбанк» ознакомлен. Порядок расчета  и оплаты мне понятен.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>«_________» ___</w:t>
    </w:r>
    <w:r w:rsidR="00756E81" w:rsidRPr="002C2BE4">
      <w:rPr>
        <w:sz w:val="16"/>
        <w:szCs w:val="16"/>
      </w:rPr>
      <w:t xml:space="preserve"> </w:t>
    </w:r>
    <w:r w:rsidRPr="002C2BE4">
      <w:rPr>
        <w:sz w:val="16"/>
        <w:szCs w:val="16"/>
      </w:rPr>
      <w:t>______ 20__</w:t>
    </w:r>
    <w:r w:rsidR="002C2BE4">
      <w:rPr>
        <w:sz w:val="16"/>
        <w:szCs w:val="16"/>
      </w:rPr>
      <w:t>г.</w:t>
    </w:r>
    <w:r w:rsidRPr="002C2BE4">
      <w:rPr>
        <w:sz w:val="16"/>
        <w:szCs w:val="16"/>
      </w:rPr>
      <w:t xml:space="preserve">            </w:t>
    </w:r>
    <w:r w:rsidR="00D95234" w:rsidRPr="002C2BE4">
      <w:rPr>
        <w:sz w:val="16"/>
        <w:szCs w:val="16"/>
      </w:rPr>
      <w:t xml:space="preserve">                                                                               </w:t>
    </w:r>
    <w:r w:rsidRPr="002C2BE4">
      <w:rPr>
        <w:sz w:val="16"/>
        <w:szCs w:val="16"/>
      </w:rPr>
      <w:t xml:space="preserve"> __________</w:t>
    </w:r>
    <w:r w:rsidR="002C2BE4">
      <w:rPr>
        <w:sz w:val="16"/>
        <w:szCs w:val="16"/>
      </w:rPr>
      <w:t>_________</w:t>
    </w:r>
    <w:r w:rsidRPr="002C2BE4">
      <w:rPr>
        <w:sz w:val="16"/>
        <w:szCs w:val="16"/>
      </w:rPr>
      <w:t>_____________________/___</w:t>
    </w:r>
    <w:r w:rsidR="006F3011">
      <w:rPr>
        <w:sz w:val="16"/>
        <w:szCs w:val="16"/>
        <w:u w:val="single"/>
      </w:rPr>
      <w:tab/>
    </w:r>
    <w:r w:rsidR="006F3011">
      <w:rPr>
        <w:sz w:val="16"/>
        <w:szCs w:val="16"/>
        <w:u w:val="single"/>
      </w:rPr>
      <w:tab/>
    </w:r>
    <w:r w:rsidRPr="002C2BE4">
      <w:rPr>
        <w:sz w:val="16"/>
        <w:szCs w:val="16"/>
      </w:rPr>
      <w:t>_</w:t>
    </w:r>
    <w:r w:rsidR="00F11EEC" w:rsidRPr="002C2BE4">
      <w:rPr>
        <w:sz w:val="16"/>
        <w:szCs w:val="16"/>
      </w:rPr>
      <w:t xml:space="preserve"> </w:t>
    </w:r>
    <w:r w:rsidRPr="002C2BE4">
      <w:rPr>
        <w:sz w:val="16"/>
        <w:szCs w:val="16"/>
      </w:rPr>
      <w:t>_______/</w:t>
    </w: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ab/>
      <w:t xml:space="preserve">                                                                               </w:t>
    </w:r>
    <w:r w:rsidR="00D95234" w:rsidRPr="002C2BE4">
      <w:rPr>
        <w:sz w:val="16"/>
        <w:szCs w:val="16"/>
      </w:rPr>
      <w:t xml:space="preserve">                                                                                                                 </w:t>
    </w:r>
    <w:r w:rsidRPr="002C2BE4">
      <w:rPr>
        <w:sz w:val="16"/>
        <w:szCs w:val="16"/>
      </w:rPr>
      <w:t xml:space="preserve">  </w:t>
    </w:r>
    <w:r w:rsidR="002C2BE4">
      <w:rPr>
        <w:sz w:val="16"/>
        <w:szCs w:val="16"/>
      </w:rPr>
      <w:t xml:space="preserve">                     </w:t>
    </w:r>
    <w:r w:rsidRPr="002C2BE4">
      <w:rPr>
        <w:sz w:val="16"/>
        <w:szCs w:val="16"/>
      </w:rPr>
      <w:t xml:space="preserve">      (подпись)</w:t>
    </w:r>
    <w:r w:rsidRPr="002C2BE4">
      <w:rPr>
        <w:sz w:val="16"/>
        <w:szCs w:val="16"/>
      </w:rPr>
      <w:tab/>
      <w:t xml:space="preserve">                               (Фамилия, инициалы)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>_________________</w:t>
    </w:r>
    <w:r w:rsidR="00D95234" w:rsidRPr="002C2BE4">
      <w:rPr>
        <w:sz w:val="16"/>
        <w:szCs w:val="16"/>
      </w:rPr>
      <w:t>_______________________________________________________</w:t>
    </w:r>
    <w:r w:rsidRPr="002C2BE4">
      <w:rPr>
        <w:sz w:val="16"/>
        <w:szCs w:val="16"/>
      </w:rPr>
      <w:t xml:space="preserve"> </w:t>
    </w:r>
    <w:r w:rsidR="00D95234" w:rsidRPr="002C2BE4">
      <w:rPr>
        <w:sz w:val="16"/>
        <w:szCs w:val="16"/>
      </w:rPr>
      <w:t xml:space="preserve">                     М.П,</w:t>
    </w:r>
  </w:p>
  <w:p w:rsidR="00491B7C" w:rsidRDefault="00D95234">
    <w:pPr>
      <w:pStyle w:val="a8"/>
    </w:pPr>
    <w:r w:rsidRPr="002C2BE4">
      <w:rPr>
        <w:sz w:val="16"/>
        <w:szCs w:val="16"/>
      </w:rPr>
      <w:t xml:space="preserve">                        </w:t>
    </w:r>
    <w:r w:rsidR="00491B7C" w:rsidRPr="002C2BE4">
      <w:rPr>
        <w:sz w:val="16"/>
        <w:szCs w:val="16"/>
      </w:rPr>
      <w:t>(Наименование – указывается для юридических лиц</w:t>
    </w:r>
    <w:r w:rsidRPr="002C2BE4">
      <w:rPr>
        <w:sz w:val="16"/>
        <w:szCs w:val="16"/>
      </w:rPr>
      <w:t xml:space="preserve">) </w:t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Pr="00D95234">
      <w:rPr>
        <w:sz w:val="16"/>
        <w:szCs w:val="16"/>
      </w:rPr>
      <w:t xml:space="preserve">Страница | </w:t>
    </w:r>
    <w:r w:rsidRPr="00D95234">
      <w:rPr>
        <w:sz w:val="16"/>
        <w:szCs w:val="16"/>
      </w:rPr>
      <w:fldChar w:fldCharType="begin"/>
    </w:r>
    <w:r w:rsidRPr="00D95234">
      <w:rPr>
        <w:sz w:val="16"/>
        <w:szCs w:val="16"/>
      </w:rPr>
      <w:instrText>PAGE   \* MERGEFORMAT</w:instrText>
    </w:r>
    <w:r w:rsidRPr="00D95234">
      <w:rPr>
        <w:sz w:val="16"/>
        <w:szCs w:val="16"/>
      </w:rPr>
      <w:fldChar w:fldCharType="separate"/>
    </w:r>
    <w:r w:rsidR="00BF1325">
      <w:rPr>
        <w:noProof/>
        <w:sz w:val="16"/>
        <w:szCs w:val="16"/>
      </w:rPr>
      <w:t>2</w:t>
    </w:r>
    <w:r w:rsidRPr="00D952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D6" w:rsidRDefault="007F5FD6">
      <w:r>
        <w:separator/>
      </w:r>
    </w:p>
  </w:footnote>
  <w:footnote w:type="continuationSeparator" w:id="0">
    <w:p w:rsidR="007F5FD6" w:rsidRDefault="007F5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35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4776"/>
      <w:gridCol w:w="10959"/>
    </w:tblGrid>
    <w:tr w:rsidR="004718D4" w:rsidRPr="00D27F75" w:rsidTr="004718D4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:rsidR="004718D4" w:rsidRDefault="00811690" w:rsidP="009942BD">
          <w:pPr>
            <w:pStyle w:val="a6"/>
            <w:rPr>
              <w:lang w:val="en-US"/>
            </w:rPr>
          </w:pPr>
          <w:r w:rsidRPr="00DB73EC">
            <w:rPr>
              <w:noProof/>
            </w:rPr>
            <w:drawing>
              <wp:inline distT="0" distB="0" distL="0" distR="0">
                <wp:extent cx="2895600" cy="358140"/>
                <wp:effectExtent l="0" t="0" r="0" b="3810"/>
                <wp:docPr id="2" name="Рисунок 2" descr="L:\База документов банка\Регламентные документы\17_Документационное обеспечение\Полож. о работе с документацией\Прил №01 к Положению - Стандарты оформл. док\SCB Logo New 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:\База документов банка\Регламентные документы\17_Документационное обеспечение\Полож. о работе с документацией\Прил №01 к Положению - Стандарты оформл. док\SCB Logo New 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5" w:type="dxa"/>
          <w:tcBorders>
            <w:bottom w:val="threeDEmboss" w:sz="6" w:space="0" w:color="auto"/>
          </w:tcBorders>
        </w:tcPr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"Совкомбанк"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№ 144-11962-000100, выданная 27.01.2009 г. </w:t>
          </w:r>
          <w:r w:rsidR="00512BEC">
            <w:rPr>
              <w:sz w:val="12"/>
              <w:szCs w:val="12"/>
            </w:rPr>
            <w:t>ФСФР России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ИНН 4401116480 КПП 440101001 БИК 043469743 к/с 30101810300000000743 в Отделении по Костромской области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Главного управления Центрального банка Российской Федерации по Центральному федеральному округу</w:t>
          </w:r>
        </w:p>
        <w:p w:rsidR="004718D4" w:rsidRPr="00D27F75" w:rsidRDefault="005B7B69" w:rsidP="005B7B69">
          <w:pPr>
            <w:pStyle w:val="a6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:rsidR="00A0761E" w:rsidRPr="00D17586" w:rsidRDefault="00A0761E" w:rsidP="002C2BE4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20" w:type="pct"/>
      <w:tblCellSpacing w:w="0" w:type="dxa"/>
      <w:tblInd w:w="739" w:type="dxa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2165"/>
      <w:gridCol w:w="11383"/>
    </w:tblGrid>
    <w:tr w:rsidR="00A02B13">
      <w:trPr>
        <w:tblCellSpacing w:w="0" w:type="dxa"/>
      </w:trPr>
      <w:tc>
        <w:tcPr>
          <w:tcW w:w="79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Default="008D75A5" w:rsidP="00A0761E">
          <w:r>
            <w:rPr>
              <w:noProof/>
            </w:rPr>
            <w:drawing>
              <wp:inline distT="0" distB="0" distL="0" distR="0" wp14:anchorId="120A182C" wp14:editId="284DF8BF">
                <wp:extent cx="819150" cy="619125"/>
                <wp:effectExtent l="0" t="0" r="0" b="9525"/>
                <wp:docPr id="8" name="Рисунок 8" descr="Описание: Описание: thismessage://L58276917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thismessage://L582769178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Pr="00AB67E8" w:rsidRDefault="00A02B13" w:rsidP="00A0761E">
          <w:pPr>
            <w:jc w:val="center"/>
            <w:rPr>
              <w:sz w:val="12"/>
              <w:szCs w:val="12"/>
            </w:rPr>
          </w:pPr>
          <w:r w:rsidRPr="00AB67E8">
            <w:rPr>
              <w:b/>
              <w:bCs/>
              <w:i/>
              <w:iCs/>
              <w:sz w:val="12"/>
              <w:szCs w:val="12"/>
            </w:rPr>
            <w:t>Депозитарий  ООО ИКБ "Совкомбанк"</w:t>
          </w:r>
          <w:r w:rsidRPr="00AB67E8">
            <w:rPr>
              <w:sz w:val="12"/>
              <w:szCs w:val="12"/>
            </w:rPr>
            <w:br/>
          </w:r>
          <w:r w:rsidRPr="00AB67E8">
            <w:rPr>
              <w:i/>
              <w:iCs/>
              <w:sz w:val="12"/>
              <w:szCs w:val="12"/>
            </w:rPr>
            <w:t xml:space="preserve">Депозитарная лицензия № </w:t>
          </w:r>
          <w:r>
            <w:rPr>
              <w:i/>
              <w:iCs/>
              <w:sz w:val="12"/>
              <w:szCs w:val="12"/>
            </w:rPr>
            <w:t xml:space="preserve">044-11962-000100 </w:t>
          </w:r>
          <w:r w:rsidRPr="00AB67E8">
            <w:rPr>
              <w:i/>
              <w:iCs/>
              <w:sz w:val="12"/>
              <w:szCs w:val="12"/>
            </w:rPr>
            <w:t xml:space="preserve"> от </w:t>
          </w:r>
          <w:r>
            <w:rPr>
              <w:i/>
              <w:iCs/>
              <w:sz w:val="12"/>
              <w:szCs w:val="12"/>
            </w:rPr>
            <w:t>27</w:t>
          </w:r>
          <w:r w:rsidRPr="00AB67E8">
            <w:rPr>
              <w:i/>
              <w:iCs/>
              <w:sz w:val="12"/>
              <w:szCs w:val="12"/>
            </w:rPr>
            <w:t>.0</w:t>
          </w:r>
          <w:r>
            <w:rPr>
              <w:i/>
              <w:iCs/>
              <w:sz w:val="12"/>
              <w:szCs w:val="12"/>
            </w:rPr>
            <w:t>1</w:t>
          </w:r>
          <w:r w:rsidRPr="00AB67E8">
            <w:rPr>
              <w:i/>
              <w:iCs/>
              <w:sz w:val="12"/>
              <w:szCs w:val="12"/>
            </w:rPr>
            <w:t>.200</w:t>
          </w:r>
          <w:r>
            <w:rPr>
              <w:i/>
              <w:iCs/>
              <w:sz w:val="12"/>
              <w:szCs w:val="12"/>
            </w:rPr>
            <w:t xml:space="preserve">9 </w:t>
          </w:r>
          <w:r w:rsidRPr="00AB67E8">
            <w:rPr>
              <w:i/>
              <w:iCs/>
              <w:sz w:val="12"/>
              <w:szCs w:val="12"/>
            </w:rPr>
            <w:t xml:space="preserve">г., </w:t>
          </w:r>
          <w:r>
            <w:rPr>
              <w:i/>
              <w:iCs/>
              <w:sz w:val="12"/>
              <w:szCs w:val="12"/>
            </w:rPr>
            <w:t>выдана ФСФР</w:t>
          </w:r>
          <w:r w:rsidRPr="00AB67E8">
            <w:rPr>
              <w:sz w:val="12"/>
              <w:szCs w:val="12"/>
            </w:rPr>
            <w:br/>
            <w:t xml:space="preserve">местонахождение: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sz w:val="12"/>
              <w:szCs w:val="12"/>
            </w:rPr>
            <w:br/>
            <w:t xml:space="preserve">почтовый адрес: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i/>
              <w:iCs/>
              <w:sz w:val="12"/>
              <w:szCs w:val="12"/>
            </w:rPr>
            <w:br/>
            <w:t>ИНН: 4402002936</w:t>
          </w:r>
        </w:p>
      </w:tc>
    </w:tr>
  </w:tbl>
  <w:p w:rsidR="00A02B13" w:rsidRDefault="007F5FD6" w:rsidP="00A02B13">
    <w: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A90"/>
    <w:multiLevelType w:val="hybridMultilevel"/>
    <w:tmpl w:val="72FA6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432459"/>
    <w:multiLevelType w:val="multilevel"/>
    <w:tmpl w:val="FD1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38A84218"/>
    <w:multiLevelType w:val="hybridMultilevel"/>
    <w:tmpl w:val="BF5CC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E6A5E"/>
    <w:multiLevelType w:val="multilevel"/>
    <w:tmpl w:val="0ACA227C"/>
    <w:lvl w:ilvl="0">
      <w:start w:val="2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6B992A0D"/>
    <w:multiLevelType w:val="hybridMultilevel"/>
    <w:tmpl w:val="FD623A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13"/>
    <w:rsid w:val="00034134"/>
    <w:rsid w:val="000526DD"/>
    <w:rsid w:val="0006368D"/>
    <w:rsid w:val="000714CB"/>
    <w:rsid w:val="000865CB"/>
    <w:rsid w:val="000B52F1"/>
    <w:rsid w:val="000D5876"/>
    <w:rsid w:val="000F7C06"/>
    <w:rsid w:val="00156EE8"/>
    <w:rsid w:val="0016564B"/>
    <w:rsid w:val="001804BA"/>
    <w:rsid w:val="00197A8B"/>
    <w:rsid w:val="001D4C17"/>
    <w:rsid w:val="001F2F6C"/>
    <w:rsid w:val="00253CB1"/>
    <w:rsid w:val="00270BFB"/>
    <w:rsid w:val="002763E5"/>
    <w:rsid w:val="002A065B"/>
    <w:rsid w:val="002C2BE4"/>
    <w:rsid w:val="003015C9"/>
    <w:rsid w:val="00334AC7"/>
    <w:rsid w:val="003A5CF5"/>
    <w:rsid w:val="00463F42"/>
    <w:rsid w:val="004718D4"/>
    <w:rsid w:val="00475F49"/>
    <w:rsid w:val="00491B7C"/>
    <w:rsid w:val="004A0B7E"/>
    <w:rsid w:val="004C5E61"/>
    <w:rsid w:val="004D0E29"/>
    <w:rsid w:val="004D1A32"/>
    <w:rsid w:val="00504DFF"/>
    <w:rsid w:val="0051199E"/>
    <w:rsid w:val="00512BEC"/>
    <w:rsid w:val="005714AB"/>
    <w:rsid w:val="00577012"/>
    <w:rsid w:val="00580FDC"/>
    <w:rsid w:val="005A08D1"/>
    <w:rsid w:val="005B1B4E"/>
    <w:rsid w:val="005B7B69"/>
    <w:rsid w:val="005C2BAD"/>
    <w:rsid w:val="005C64AD"/>
    <w:rsid w:val="00605B90"/>
    <w:rsid w:val="0065747B"/>
    <w:rsid w:val="006D7913"/>
    <w:rsid w:val="006F3011"/>
    <w:rsid w:val="006F5B6E"/>
    <w:rsid w:val="00734E58"/>
    <w:rsid w:val="00756E81"/>
    <w:rsid w:val="007643B8"/>
    <w:rsid w:val="007A0613"/>
    <w:rsid w:val="007E163C"/>
    <w:rsid w:val="007F5FD6"/>
    <w:rsid w:val="00811690"/>
    <w:rsid w:val="00840AD1"/>
    <w:rsid w:val="008457BF"/>
    <w:rsid w:val="00862DFE"/>
    <w:rsid w:val="00884486"/>
    <w:rsid w:val="00893232"/>
    <w:rsid w:val="008D3993"/>
    <w:rsid w:val="008D75A5"/>
    <w:rsid w:val="0090487F"/>
    <w:rsid w:val="0091625C"/>
    <w:rsid w:val="00916A57"/>
    <w:rsid w:val="00922A9F"/>
    <w:rsid w:val="0096323E"/>
    <w:rsid w:val="00963256"/>
    <w:rsid w:val="009A51E2"/>
    <w:rsid w:val="009D4DCA"/>
    <w:rsid w:val="009F051B"/>
    <w:rsid w:val="00A02B13"/>
    <w:rsid w:val="00A0761E"/>
    <w:rsid w:val="00A120BB"/>
    <w:rsid w:val="00A34C01"/>
    <w:rsid w:val="00A40DA8"/>
    <w:rsid w:val="00A70394"/>
    <w:rsid w:val="00A72DE3"/>
    <w:rsid w:val="00AD7F34"/>
    <w:rsid w:val="00AE4532"/>
    <w:rsid w:val="00AF43A4"/>
    <w:rsid w:val="00AF5324"/>
    <w:rsid w:val="00B076B8"/>
    <w:rsid w:val="00B14AC9"/>
    <w:rsid w:val="00B44BF4"/>
    <w:rsid w:val="00B94525"/>
    <w:rsid w:val="00BA2D10"/>
    <w:rsid w:val="00BA2EBB"/>
    <w:rsid w:val="00BC5EA7"/>
    <w:rsid w:val="00BF1325"/>
    <w:rsid w:val="00BF76D0"/>
    <w:rsid w:val="00C05ADB"/>
    <w:rsid w:val="00C24C2F"/>
    <w:rsid w:val="00C5686F"/>
    <w:rsid w:val="00C75C4B"/>
    <w:rsid w:val="00C97047"/>
    <w:rsid w:val="00CC468F"/>
    <w:rsid w:val="00D17586"/>
    <w:rsid w:val="00D279BB"/>
    <w:rsid w:val="00D40588"/>
    <w:rsid w:val="00D95234"/>
    <w:rsid w:val="00DA226B"/>
    <w:rsid w:val="00DA275F"/>
    <w:rsid w:val="00DE1FFD"/>
    <w:rsid w:val="00E03750"/>
    <w:rsid w:val="00E532A8"/>
    <w:rsid w:val="00E61592"/>
    <w:rsid w:val="00E810D5"/>
    <w:rsid w:val="00E953A9"/>
    <w:rsid w:val="00EC1B85"/>
    <w:rsid w:val="00ED5CDB"/>
    <w:rsid w:val="00F06E07"/>
    <w:rsid w:val="00F11EEC"/>
    <w:rsid w:val="00F17B5D"/>
    <w:rsid w:val="00F63E85"/>
    <w:rsid w:val="00F8370C"/>
    <w:rsid w:val="00FA5FC8"/>
    <w:rsid w:val="00FC13B2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link w:val="a7"/>
    <w:rsid w:val="00A02B1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5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532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734E58"/>
    <w:rPr>
      <w:lang w:val="x-none" w:eastAsia="x-none"/>
    </w:rPr>
  </w:style>
  <w:style w:type="character" w:customStyle="1" w:styleId="ac">
    <w:name w:val="Текст сноски Знак"/>
    <w:basedOn w:val="a0"/>
    <w:link w:val="ab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  <w:style w:type="character" w:customStyle="1" w:styleId="a7">
    <w:name w:val="Верхний колонтитул Знак"/>
    <w:basedOn w:val="a0"/>
    <w:link w:val="a6"/>
    <w:rsid w:val="004718D4"/>
  </w:style>
  <w:style w:type="paragraph" w:customStyle="1" w:styleId="41">
    <w:name w:val="Заголовок 41"/>
    <w:basedOn w:val="a"/>
    <w:next w:val="a"/>
    <w:rsid w:val="002763E5"/>
    <w:pPr>
      <w:keepNext/>
      <w:jc w:val="right"/>
    </w:pPr>
    <w:rPr>
      <w:i/>
    </w:rPr>
  </w:style>
  <w:style w:type="paragraph" w:styleId="2">
    <w:name w:val="Body Text 2"/>
    <w:basedOn w:val="a"/>
    <w:link w:val="20"/>
    <w:rsid w:val="005A08D1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5A08D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link w:val="a7"/>
    <w:rsid w:val="00A02B1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5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532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734E58"/>
    <w:rPr>
      <w:lang w:val="x-none" w:eastAsia="x-none"/>
    </w:rPr>
  </w:style>
  <w:style w:type="character" w:customStyle="1" w:styleId="ac">
    <w:name w:val="Текст сноски Знак"/>
    <w:basedOn w:val="a0"/>
    <w:link w:val="ab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  <w:style w:type="character" w:customStyle="1" w:styleId="a7">
    <w:name w:val="Верхний колонтитул Знак"/>
    <w:basedOn w:val="a0"/>
    <w:link w:val="a6"/>
    <w:rsid w:val="004718D4"/>
  </w:style>
  <w:style w:type="paragraph" w:customStyle="1" w:styleId="41">
    <w:name w:val="Заголовок 41"/>
    <w:basedOn w:val="a"/>
    <w:next w:val="a"/>
    <w:rsid w:val="002763E5"/>
    <w:pPr>
      <w:keepNext/>
      <w:jc w:val="right"/>
    </w:pPr>
    <w:rPr>
      <w:i/>
    </w:rPr>
  </w:style>
  <w:style w:type="paragraph" w:styleId="2">
    <w:name w:val="Body Text 2"/>
    <w:basedOn w:val="a"/>
    <w:link w:val="20"/>
    <w:rsid w:val="005A08D1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5A08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EAF32.783492A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DDF3-1FED-4F44-9F5E-EC115433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71</vt:lpstr>
    </vt:vector>
  </TitlesOfParts>
  <Company/>
  <LinksUpToDate>false</LinksUpToDate>
  <CharactersWithSpaces>9057</CharactersWithSpaces>
  <SharedDoc>false</SharedDoc>
  <HLinks>
    <vt:vector size="12" baseType="variant">
      <vt:variant>
        <vt:i4>69206096</vt:i4>
      </vt:variant>
      <vt:variant>
        <vt:i4>24830</vt:i4>
      </vt:variant>
      <vt:variant>
        <vt:i4>1026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  <vt:variant>
        <vt:i4>69206096</vt:i4>
      </vt:variant>
      <vt:variant>
        <vt:i4>25628</vt:i4>
      </vt:variant>
      <vt:variant>
        <vt:i4>1028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71</dc:title>
  <dc:creator>VasilenkoOV</dc:creator>
  <cp:lastModifiedBy>Новиков Виктор Владимирович</cp:lastModifiedBy>
  <cp:revision>2</cp:revision>
  <cp:lastPrinted>2014-10-08T11:30:00Z</cp:lastPrinted>
  <dcterms:created xsi:type="dcterms:W3CDTF">2018-10-26T10:31:00Z</dcterms:created>
  <dcterms:modified xsi:type="dcterms:W3CDTF">2018-10-26T10:31:00Z</dcterms:modified>
</cp:coreProperties>
</file>