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13" w:rsidRPr="007C00A0" w:rsidRDefault="00A02B13" w:rsidP="00A02B13">
      <w:pPr>
        <w:jc w:val="right"/>
        <w:outlineLvl w:val="8"/>
        <w:rPr>
          <w:rStyle w:val="a3"/>
        </w:rPr>
      </w:pPr>
      <w:bookmarkStart w:id="0" w:name="OLE_LINK73"/>
      <w:r w:rsidRPr="007C00A0">
        <w:rPr>
          <w:rStyle w:val="a3"/>
        </w:rPr>
        <w:t>Приложение № 7</w:t>
      </w:r>
      <w:r>
        <w:rPr>
          <w:rStyle w:val="a3"/>
        </w:rPr>
        <w:t>1</w:t>
      </w:r>
    </w:p>
    <w:bookmarkEnd w:id="0"/>
    <w:p w:rsidR="00A02B13" w:rsidRPr="00BA2D10" w:rsidRDefault="00A02B13" w:rsidP="00A02B13">
      <w:pPr>
        <w:jc w:val="center"/>
        <w:rPr>
          <w:b/>
          <w:sz w:val="32"/>
          <w:szCs w:val="32"/>
        </w:rPr>
      </w:pPr>
      <w:r w:rsidRPr="00BA2D10">
        <w:rPr>
          <w:b/>
          <w:sz w:val="32"/>
          <w:szCs w:val="32"/>
        </w:rPr>
        <w:t>Тарифы</w:t>
      </w:r>
    </w:p>
    <w:p w:rsidR="00A02B13" w:rsidRDefault="00A02B13" w:rsidP="00BA2D10">
      <w:pPr>
        <w:jc w:val="center"/>
        <w:rPr>
          <w:b/>
        </w:rPr>
      </w:pPr>
      <w:r w:rsidRPr="007C00A0">
        <w:rPr>
          <w:b/>
        </w:rPr>
        <w:t xml:space="preserve">комиссионного вознаграждения за услуги </w:t>
      </w:r>
      <w:r w:rsidR="00BA2D10">
        <w:rPr>
          <w:b/>
        </w:rPr>
        <w:t>Депозитари</w:t>
      </w:r>
      <w:r w:rsidR="00197A8B">
        <w:rPr>
          <w:b/>
        </w:rPr>
        <w:t>я</w:t>
      </w:r>
      <w:r w:rsidR="00BA2D10">
        <w:rPr>
          <w:b/>
        </w:rPr>
        <w:t xml:space="preserve"> ООО ИКБ «</w:t>
      </w:r>
      <w:proofErr w:type="spellStart"/>
      <w:r w:rsidR="00BA2D10">
        <w:rPr>
          <w:b/>
        </w:rPr>
        <w:t>Совкомбанк</w:t>
      </w:r>
      <w:proofErr w:type="spellEnd"/>
      <w:r w:rsidR="00BA2D10">
        <w:rPr>
          <w:b/>
        </w:rPr>
        <w:t>»</w:t>
      </w:r>
    </w:p>
    <w:p w:rsidR="00BA2D10" w:rsidRDefault="00BA2D10" w:rsidP="00BA2D10">
      <w:pPr>
        <w:jc w:val="center"/>
      </w:pPr>
    </w:p>
    <w:tbl>
      <w:tblPr>
        <w:tblW w:w="15623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96"/>
        <w:gridCol w:w="1843"/>
        <w:gridCol w:w="1843"/>
        <w:gridCol w:w="3969"/>
        <w:gridCol w:w="3402"/>
      </w:tblGrid>
      <w:tr w:rsidR="00A02B13" w:rsidTr="005C2BAD">
        <w:trPr>
          <w:trHeight w:val="431"/>
        </w:trPr>
        <w:tc>
          <w:tcPr>
            <w:tcW w:w="570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996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услуги/операции</w:t>
            </w:r>
          </w:p>
        </w:tc>
        <w:tc>
          <w:tcPr>
            <w:tcW w:w="3686" w:type="dxa"/>
            <w:gridSpan w:val="2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физических лиц указана в рублях</w:t>
            </w:r>
          </w:p>
        </w:tc>
        <w:tc>
          <w:tcPr>
            <w:tcW w:w="3969" w:type="dxa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юридических лиц указана в рублях</w:t>
            </w:r>
          </w:p>
        </w:tc>
        <w:tc>
          <w:tcPr>
            <w:tcW w:w="3402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Порядок взимания</w:t>
            </w:r>
          </w:p>
        </w:tc>
      </w:tr>
      <w:tr w:rsidR="00A02B13" w:rsidTr="000526DD">
        <w:trPr>
          <w:trHeight w:val="230"/>
        </w:trPr>
        <w:tc>
          <w:tcPr>
            <w:tcW w:w="15623" w:type="dxa"/>
            <w:gridSpan w:val="6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Административные операции:</w:t>
            </w:r>
          </w:p>
        </w:tc>
      </w:tr>
      <w:tr w:rsidR="00197A8B" w:rsidTr="000526DD">
        <w:trPr>
          <w:trHeight w:val="408"/>
        </w:trPr>
        <w:tc>
          <w:tcPr>
            <w:tcW w:w="570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96" w:type="dxa"/>
            <w:shd w:val="solid" w:color="FFFFFF" w:fill="auto"/>
          </w:tcPr>
          <w:p w:rsidR="00197A8B" w:rsidRDefault="00B94525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операции за исключением п.1.3 настоящих Тарифов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197A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0526DD">
        <w:trPr>
          <w:trHeight w:val="261"/>
        </w:trPr>
        <w:tc>
          <w:tcPr>
            <w:tcW w:w="570" w:type="dxa"/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96" w:type="dxa"/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анкетных данных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02B13" w:rsidRPr="00B94525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E4532" w:rsidRPr="00B94525">
              <w:rPr>
                <w:color w:val="000000"/>
                <w:sz w:val="18"/>
                <w:szCs w:val="18"/>
              </w:rPr>
              <w:t xml:space="preserve"> </w:t>
            </w:r>
            <w:r w:rsidR="00AE4532" w:rsidRPr="00B94525">
              <w:rPr>
                <w:sz w:val="18"/>
                <w:szCs w:val="18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197A8B" w:rsidTr="000526DD">
        <w:trPr>
          <w:trHeight w:val="521"/>
        </w:trPr>
        <w:tc>
          <w:tcPr>
            <w:tcW w:w="570" w:type="dxa"/>
            <w:shd w:val="solid" w:color="FFFFFF" w:fill="auto"/>
          </w:tcPr>
          <w:p w:rsidR="00197A8B" w:rsidRDefault="00197A8B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6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Назначение/отмена Попечителя/</w:t>
            </w:r>
            <w:proofErr w:type="gramStart"/>
            <w:r>
              <w:rPr>
                <w:color w:val="000000"/>
                <w:sz w:val="18"/>
                <w:szCs w:val="18"/>
              </w:rPr>
              <w:t>Оператора/Распорядителя Счета/Раздела счета депо</w:t>
            </w:r>
            <w:proofErr w:type="gramEnd"/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197A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E532A8">
        <w:trPr>
          <w:trHeight w:val="461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Разблокировка Счета депо после погашения задолженности по оплате услуг Депозитария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solid" w:color="FFFFFF" w:fill="auto"/>
            <w:vAlign w:val="center"/>
          </w:tcPr>
          <w:p w:rsidR="00A02B13" w:rsidRPr="00AE4532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AE4532" w:rsidRPr="00AE4532">
              <w:rPr>
                <w:sz w:val="18"/>
                <w:szCs w:val="18"/>
                <w:lang w:val="en-US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Pr="00AE4532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AE4532" w:rsidRPr="00AE4532">
              <w:rPr>
                <w:sz w:val="18"/>
                <w:szCs w:val="18"/>
                <w:lang w:val="en-US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Default="00F8370C" w:rsidP="00E532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каждую операцию разблокировки</w:t>
            </w:r>
            <w:r w:rsidR="00E532A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связанн</w:t>
            </w:r>
            <w:r w:rsidR="00E532A8">
              <w:rPr>
                <w:color w:val="000000"/>
                <w:sz w:val="18"/>
                <w:szCs w:val="18"/>
              </w:rPr>
              <w:t>ую с</w:t>
            </w:r>
            <w:r>
              <w:rPr>
                <w:color w:val="000000"/>
                <w:sz w:val="18"/>
                <w:szCs w:val="18"/>
              </w:rPr>
              <w:t xml:space="preserve"> несвоевременной оплатой</w:t>
            </w:r>
            <w:r w:rsidR="00E532A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2B13" w:rsidTr="000526DD">
        <w:trPr>
          <w:trHeight w:val="112"/>
        </w:trPr>
        <w:tc>
          <w:tcPr>
            <w:tcW w:w="15623" w:type="dxa"/>
            <w:gridSpan w:val="6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Учет и</w:t>
            </w:r>
            <w:r w:rsidR="00734E58">
              <w:rPr>
                <w:color w:val="000000"/>
                <w:sz w:val="18"/>
                <w:szCs w:val="18"/>
              </w:rPr>
              <w:t>/или</w:t>
            </w:r>
            <w:r>
              <w:rPr>
                <w:color w:val="000000"/>
                <w:sz w:val="18"/>
                <w:szCs w:val="18"/>
              </w:rPr>
              <w:t xml:space="preserve"> хранение ценных бумаг</w:t>
            </w:r>
            <w:r w:rsidR="007E163C">
              <w:rPr>
                <w:color w:val="000000"/>
                <w:sz w:val="18"/>
                <w:szCs w:val="18"/>
              </w:rPr>
              <w:t>:</w:t>
            </w:r>
          </w:p>
        </w:tc>
      </w:tr>
      <w:tr w:rsidR="0091625C" w:rsidTr="000526DD">
        <w:trPr>
          <w:trHeight w:val="184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1D4C17" w:rsidP="007E163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</w:t>
            </w:r>
            <w:r w:rsidR="008D3993">
              <w:rPr>
                <w:rStyle w:val="a5"/>
                <w:color w:val="000000"/>
                <w:sz w:val="18"/>
                <w:szCs w:val="18"/>
              </w:rPr>
              <w:endnoteReference w:id="1"/>
            </w:r>
            <w:r w:rsidR="00ED5C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8457BF" w:rsidP="00916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91625C" w:rsidTr="000526DD">
        <w:trPr>
          <w:trHeight w:val="246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19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500 000 000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Pr="00D279BB" w:rsidRDefault="00BF76D0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  <w:r w:rsidR="00A120BB">
              <w:rPr>
                <w:bCs/>
                <w:sz w:val="18"/>
                <w:szCs w:val="18"/>
              </w:rPr>
              <w:t>0</w:t>
            </w:r>
            <w:r w:rsidR="00840AD1">
              <w:rPr>
                <w:bCs/>
                <w:sz w:val="18"/>
                <w:szCs w:val="18"/>
              </w:rPr>
              <w:t>2</w:t>
            </w:r>
            <w:r w:rsidR="0091625C"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44BF4">
              <w:rPr>
                <w:bCs/>
                <w:sz w:val="18"/>
                <w:szCs w:val="18"/>
              </w:rPr>
              <w:t>0</w:t>
            </w:r>
            <w:r w:rsidR="0091625C">
              <w:rPr>
                <w:bCs/>
                <w:sz w:val="18"/>
                <w:szCs w:val="18"/>
              </w:rPr>
              <w:t>000 руб. + 0,00</w:t>
            </w:r>
            <w:r>
              <w:rPr>
                <w:bCs/>
                <w:sz w:val="18"/>
                <w:szCs w:val="18"/>
              </w:rPr>
              <w:t>18</w:t>
            </w:r>
            <w:r w:rsidR="0091625C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A120BB">
              <w:rPr>
                <w:bCs/>
                <w:sz w:val="18"/>
                <w:szCs w:val="18"/>
              </w:rPr>
              <w:t xml:space="preserve"> 000</w:t>
            </w:r>
            <w:r w:rsidR="0091625C">
              <w:rPr>
                <w:bCs/>
                <w:sz w:val="18"/>
                <w:szCs w:val="18"/>
              </w:rPr>
              <w:t xml:space="preserve"> руб. + 0,00</w:t>
            </w:r>
            <w:r>
              <w:rPr>
                <w:bCs/>
                <w:sz w:val="18"/>
                <w:szCs w:val="18"/>
              </w:rPr>
              <w:t>15</w:t>
            </w:r>
            <w:r w:rsidR="0091625C">
              <w:rPr>
                <w:bCs/>
                <w:sz w:val="18"/>
                <w:szCs w:val="18"/>
              </w:rPr>
              <w:t xml:space="preserve">% от стоимости остатка ценных бумаг, превышающей </w:t>
            </w:r>
            <w:r w:rsidR="00F8370C">
              <w:rPr>
                <w:bCs/>
                <w:sz w:val="18"/>
                <w:szCs w:val="18"/>
              </w:rPr>
              <w:t>1</w:t>
            </w:r>
            <w:r w:rsidR="0091625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1625C">
              <w:rPr>
                <w:bCs/>
                <w:sz w:val="18"/>
                <w:szCs w:val="18"/>
              </w:rPr>
              <w:t>мл</w:t>
            </w:r>
            <w:r w:rsidR="00F8370C">
              <w:rPr>
                <w:bCs/>
                <w:sz w:val="18"/>
                <w:szCs w:val="18"/>
              </w:rPr>
              <w:t>р</w:t>
            </w:r>
            <w:proofErr w:type="spellEnd"/>
            <w:r w:rsidR="0091625C">
              <w:rPr>
                <w:bCs/>
                <w:sz w:val="18"/>
                <w:szCs w:val="18"/>
              </w:rPr>
              <w:t>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&gt; </w:t>
            </w:r>
            <w:r w:rsidR="00F8370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91625C" w:rsidRDefault="00840AD1" w:rsidP="00B44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DE1FFD">
              <w:rPr>
                <w:color w:val="000000"/>
                <w:sz w:val="18"/>
                <w:szCs w:val="18"/>
              </w:rPr>
              <w:t xml:space="preserve"> </w:t>
            </w:r>
            <w:r w:rsidR="00F8370C">
              <w:rPr>
                <w:color w:val="000000"/>
                <w:sz w:val="18"/>
                <w:szCs w:val="18"/>
              </w:rPr>
              <w:t xml:space="preserve">000 +0,0012% от стоимости остатка ценных бумаг, превышающей 10 млрд. </w:t>
            </w:r>
            <w:proofErr w:type="spellStart"/>
            <w:r w:rsidR="00F8370C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ED5CDB" w:rsidP="007643B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06368D" w:rsidP="004A0B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Акции</w:t>
            </w:r>
            <w:r w:rsidR="001D4C17">
              <w:rPr>
                <w:color w:val="000000"/>
                <w:sz w:val="18"/>
                <w:szCs w:val="18"/>
              </w:rPr>
              <w:t>,</w:t>
            </w:r>
            <w:r w:rsidR="005C64AD">
              <w:rPr>
                <w:color w:val="000000"/>
                <w:sz w:val="18"/>
                <w:szCs w:val="18"/>
              </w:rPr>
              <w:t xml:space="preserve"> за исключением акций ОАО «Газпром»</w:t>
            </w:r>
            <w:r w:rsidR="005C64AD">
              <w:rPr>
                <w:rStyle w:val="a5"/>
                <w:color w:val="000000"/>
                <w:sz w:val="18"/>
                <w:szCs w:val="18"/>
              </w:rPr>
              <w:endnoteReference w:id="2"/>
            </w:r>
            <w:r w:rsidR="005C64AD">
              <w:rPr>
                <w:color w:val="000000"/>
                <w:sz w:val="18"/>
                <w:szCs w:val="18"/>
              </w:rPr>
              <w:t>,</w:t>
            </w:r>
            <w:r w:rsidR="001D4C17">
              <w:rPr>
                <w:color w:val="000000"/>
                <w:sz w:val="18"/>
                <w:szCs w:val="18"/>
              </w:rPr>
              <w:t xml:space="preserve"> депозитарные расписки</w:t>
            </w:r>
            <w:r w:rsidR="007E163C">
              <w:rPr>
                <w:color w:val="000000"/>
                <w:sz w:val="18"/>
                <w:szCs w:val="18"/>
              </w:rPr>
              <w:t>, инвестиционные паи</w:t>
            </w:r>
            <w:r w:rsidR="004A0B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Pr="008457BF" w:rsidRDefault="008457BF" w:rsidP="000F7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  <w:r w:rsidR="000F7C06">
              <w:rPr>
                <w:sz w:val="18"/>
                <w:szCs w:val="18"/>
              </w:rPr>
              <w:t xml:space="preserve">. </w:t>
            </w: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1625C">
              <w:rPr>
                <w:bCs/>
                <w:sz w:val="18"/>
                <w:szCs w:val="18"/>
              </w:rPr>
              <w:t>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="00840AD1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 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91625C">
              <w:rPr>
                <w:bCs/>
                <w:sz w:val="18"/>
                <w:szCs w:val="18"/>
              </w:rPr>
              <w:t>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063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C468F">
              <w:rPr>
                <w:bCs/>
                <w:sz w:val="18"/>
                <w:szCs w:val="18"/>
              </w:rPr>
              <w:t xml:space="preserve"> 000</w:t>
            </w:r>
            <w:r w:rsidR="0006368D">
              <w:rPr>
                <w:bCs/>
                <w:sz w:val="18"/>
                <w:szCs w:val="18"/>
              </w:rPr>
              <w:t xml:space="preserve"> руб. + 0,001</w:t>
            </w:r>
            <w:r w:rsidR="00CC468F">
              <w:rPr>
                <w:bCs/>
                <w:sz w:val="18"/>
                <w:szCs w:val="18"/>
              </w:rPr>
              <w:t xml:space="preserve"> 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100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63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</w:t>
            </w:r>
            <w:r w:rsidR="0006368D">
              <w:rPr>
                <w:bCs/>
                <w:sz w:val="18"/>
                <w:szCs w:val="18"/>
              </w:rPr>
              <w:t>00 руб. + 0,00</w:t>
            </w:r>
            <w:r>
              <w:rPr>
                <w:bCs/>
                <w:sz w:val="18"/>
                <w:szCs w:val="18"/>
              </w:rPr>
              <w:t>09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5B1B4E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5B1B4E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&gt; 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CC468F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40AD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0A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  <w:r w:rsidR="0006368D">
              <w:rPr>
                <w:color w:val="000000"/>
                <w:sz w:val="18"/>
                <w:szCs w:val="18"/>
              </w:rPr>
              <w:t xml:space="preserve"> руб. +0,000</w:t>
            </w:r>
            <w:r w:rsidR="00840AD1">
              <w:rPr>
                <w:color w:val="000000"/>
                <w:sz w:val="18"/>
                <w:szCs w:val="18"/>
              </w:rPr>
              <w:t>7</w:t>
            </w:r>
            <w:r w:rsidR="0006368D">
              <w:rPr>
                <w:color w:val="000000"/>
                <w:sz w:val="18"/>
                <w:szCs w:val="18"/>
              </w:rPr>
              <w:t xml:space="preserve">% от стоимости остатка ценных бумаг, превышающей 1 млрд. </w:t>
            </w:r>
            <w:proofErr w:type="spellStart"/>
            <w:r w:rsidR="0006368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0F7C06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7E163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Хранение сертификатов ценных бумаг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1D4C17" w:rsidRPr="000F7C06" w:rsidRDefault="001D4C17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7E163C">
              <w:rPr>
                <w:color w:val="000000"/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% стоимости остатка ценных бумаг в месяц</w:t>
            </w:r>
            <w:r w:rsidR="000F7C06">
              <w:rPr>
                <w:color w:val="000000"/>
                <w:sz w:val="18"/>
                <w:szCs w:val="18"/>
              </w:rPr>
              <w:t xml:space="preserve">, </w:t>
            </w:r>
            <w:r w:rsidR="000F7C06">
              <w:rPr>
                <w:color w:val="000000"/>
                <w:sz w:val="18"/>
                <w:szCs w:val="18"/>
                <w:lang w:val="en-US"/>
              </w:rPr>
              <w:t>min</w:t>
            </w:r>
            <w:r w:rsidR="000F7C06" w:rsidRPr="000F7C06">
              <w:rPr>
                <w:color w:val="000000"/>
                <w:sz w:val="18"/>
                <w:szCs w:val="18"/>
              </w:rPr>
              <w:t xml:space="preserve"> 50 </w:t>
            </w:r>
            <w:r w:rsidR="000F7C06">
              <w:rPr>
                <w:color w:val="000000"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1D4C17" w:rsidRDefault="007E163C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AF43A4" w:rsidTr="00EE5C27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Учет прав на ценные бумаги, не имеющие рыночной стоимости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AF43A4" w:rsidRDefault="00AF43A4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F43A4" w:rsidRPr="008457BF" w:rsidRDefault="00AF43A4" w:rsidP="005B1B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Ставка взимается за один </w:t>
            </w:r>
            <w:r>
              <w:rPr>
                <w:sz w:val="18"/>
                <w:szCs w:val="18"/>
              </w:rPr>
              <w:t xml:space="preserve">(за каждый) </w:t>
            </w:r>
            <w:r w:rsidRPr="005B1B4E">
              <w:rPr>
                <w:sz w:val="18"/>
                <w:szCs w:val="18"/>
              </w:rPr>
              <w:t>выпуск ценных бумаг на счет</w:t>
            </w:r>
            <w:r>
              <w:rPr>
                <w:sz w:val="18"/>
                <w:szCs w:val="18"/>
              </w:rPr>
              <w:t>е депо, но не более 3000 рублей в месяц.</w:t>
            </w:r>
          </w:p>
        </w:tc>
      </w:tr>
      <w:tr w:rsidR="007643B8" w:rsidTr="000526DD">
        <w:trPr>
          <w:trHeight w:val="295"/>
        </w:trPr>
        <w:tc>
          <w:tcPr>
            <w:tcW w:w="15623" w:type="dxa"/>
            <w:gridSpan w:val="6"/>
            <w:shd w:val="solid" w:color="FFFFFF" w:fill="auto"/>
          </w:tcPr>
          <w:p w:rsidR="007643B8" w:rsidRPr="00EA7B94" w:rsidRDefault="007643B8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lastRenderedPageBreak/>
              <w:t>3. Инвентарные операции, исполняемые на основании Поручения Депонента или уполномоченного лица Депонента</w:t>
            </w:r>
          </w:p>
        </w:tc>
      </w:tr>
      <w:tr w:rsidR="00FC13B2" w:rsidTr="000526DD">
        <w:trPr>
          <w:trHeight w:val="288"/>
        </w:trPr>
        <w:tc>
          <w:tcPr>
            <w:tcW w:w="570" w:type="dxa"/>
            <w:shd w:val="solid" w:color="FFFFFF" w:fill="auto"/>
          </w:tcPr>
          <w:p w:rsidR="00FC13B2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916A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 ценных бум</w:t>
            </w:r>
            <w:r w:rsidR="00916A57">
              <w:rPr>
                <w:color w:val="000000"/>
                <w:sz w:val="18"/>
                <w:szCs w:val="18"/>
              </w:rPr>
              <w:t>аг</w:t>
            </w:r>
            <w:r>
              <w:rPr>
                <w:color w:val="000000"/>
                <w:sz w:val="18"/>
                <w:szCs w:val="18"/>
              </w:rPr>
              <w:t xml:space="preserve"> на учет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FC13B2" w:rsidRDefault="00FC13B2" w:rsidP="00FC13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655"/>
        </w:trPr>
        <w:tc>
          <w:tcPr>
            <w:tcW w:w="570" w:type="dxa"/>
            <w:shd w:val="solid" w:color="FFFFFF" w:fill="auto"/>
          </w:tcPr>
          <w:p w:rsidR="001D4C17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996" w:type="dxa"/>
            <w:shd w:val="solid" w:color="FFFFFF" w:fill="auto"/>
          </w:tcPr>
          <w:p w:rsidR="001D4C17" w:rsidRDefault="001D4C17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ED5CDB">
              <w:rPr>
                <w:color w:val="000000"/>
                <w:sz w:val="18"/>
                <w:szCs w:val="18"/>
              </w:rPr>
              <w:t>рием/снятие ценных бума с учета</w:t>
            </w:r>
            <w:r>
              <w:rPr>
                <w:color w:val="000000"/>
                <w:sz w:val="18"/>
                <w:szCs w:val="18"/>
              </w:rPr>
              <w:t xml:space="preserve"> по результатам операций, совершенных через Организаторов торговли на рынке ценных бумаг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D4C17" w:rsidRDefault="001D4C17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EC1B85" w:rsidTr="00EC0C09">
        <w:trPr>
          <w:trHeight w:val="655"/>
        </w:trPr>
        <w:tc>
          <w:tcPr>
            <w:tcW w:w="570" w:type="dxa"/>
            <w:shd w:val="solid" w:color="FFFFFF" w:fill="auto"/>
          </w:tcPr>
          <w:p w:rsidR="00EC1B85" w:rsidRDefault="00EC1B85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996" w:type="dxa"/>
            <w:shd w:val="solid" w:color="FFFFFF" w:fill="auto"/>
          </w:tcPr>
          <w:p w:rsidR="00EC1B85" w:rsidRPr="00FC13B2" w:rsidRDefault="00EC1B85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Прием/снятие ценных бумаг с учета с использованием услуг международных расчетно-клиринговых организаций на условиях «</w:t>
            </w:r>
            <w:r>
              <w:rPr>
                <w:color w:val="000000"/>
                <w:sz w:val="18"/>
                <w:szCs w:val="18"/>
                <w:lang w:val="en-US"/>
              </w:rPr>
              <w:t>Delivery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Versus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Payment</w:t>
            </w:r>
            <w:r w:rsidRPr="00FC13B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DVP</w:t>
            </w:r>
            <w:r w:rsidRPr="00FC13B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  <w:lang w:val="en-US"/>
              </w:rPr>
              <w:t>settlement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rStyle w:val="a5"/>
                <w:color w:val="000000"/>
                <w:sz w:val="18"/>
                <w:szCs w:val="18"/>
              </w:rPr>
              <w:endnoteReference w:id="3"/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EC1B85" w:rsidRDefault="00EC1B85" w:rsidP="00EC1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EC1B85" w:rsidRDefault="00EC1B85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76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shd w:val="solid" w:color="FFFFFF" w:fill="auto"/>
          </w:tcPr>
          <w:p w:rsidR="00FC13B2" w:rsidRPr="00EA7B94" w:rsidRDefault="00FC13B2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t>Переводы ценных бумаг между Счетами депо в Депозитарии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6F5B6E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17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184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96" w:type="dxa"/>
            <w:shd w:val="solid" w:color="FFFFFF" w:fill="auto"/>
          </w:tcPr>
          <w:p w:rsidR="00FC13B2" w:rsidRPr="00ED5CDB" w:rsidRDefault="00FC13B2" w:rsidP="00ED5C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Прием </w:t>
            </w:r>
            <w:r w:rsidR="00ED5CDB">
              <w:rPr>
                <w:color w:val="000000"/>
                <w:sz w:val="18"/>
                <w:szCs w:val="18"/>
              </w:rPr>
              <w:t>сертификатов ценных бумаг на хранение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сертификат ценной бумаги</w:t>
            </w:r>
          </w:p>
        </w:tc>
      </w:tr>
      <w:tr w:rsidR="00FC13B2" w:rsidTr="000526DD">
        <w:trPr>
          <w:trHeight w:val="231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96" w:type="dxa"/>
            <w:shd w:val="solid" w:color="FFFFFF" w:fill="auto"/>
          </w:tcPr>
          <w:p w:rsidR="00FC13B2" w:rsidRDefault="00ED5CD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Снятие ценных бумаг с учета 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50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Поручения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329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Комплексные операции</w:t>
            </w:r>
          </w:p>
        </w:tc>
      </w:tr>
      <w:tr w:rsidR="00FC13B2" w:rsidTr="000526DD">
        <w:trPr>
          <w:trHeight w:val="328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Регистрация возникновения/прекращения залога/заклада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22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Осуществление Глобальных депозитарных операций (конвертация, консолидация, дробление, погашение и др.) – бесплатно</w:t>
            </w:r>
          </w:p>
        </w:tc>
      </w:tr>
      <w:tr w:rsidR="00FC13B2" w:rsidTr="000526DD">
        <w:trPr>
          <w:trHeight w:val="254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Информационные операции</w:t>
            </w:r>
          </w:p>
        </w:tc>
      </w:tr>
      <w:tr w:rsidR="00916A57" w:rsidTr="000526DD">
        <w:trPr>
          <w:trHeight w:val="384"/>
        </w:trPr>
        <w:tc>
          <w:tcPr>
            <w:tcW w:w="570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96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клиентам отчета о выполнении депозитарной операции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916A57" w:rsidRDefault="00916A57" w:rsidP="00916A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  <w:bookmarkStart w:id="1" w:name="_GoBack"/>
            <w:bookmarkEnd w:id="1"/>
          </w:p>
        </w:tc>
      </w:tr>
      <w:tr w:rsidR="00FC13B2" w:rsidTr="000526DD">
        <w:trPr>
          <w:trHeight w:val="489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Повторное предоставление клиентам отчета о выполнении депозитарной операции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</w:t>
            </w:r>
          </w:p>
        </w:tc>
      </w:tr>
      <w:tr w:rsidR="00FC13B2" w:rsidTr="000526DD">
        <w:trPr>
          <w:trHeight w:val="695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Депоненту выписок по факсу, по электронной почте или лично на основании запроса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выписку</w:t>
            </w:r>
          </w:p>
        </w:tc>
      </w:tr>
    </w:tbl>
    <w:p w:rsidR="00334AC7" w:rsidRDefault="00334AC7" w:rsidP="00334AC7">
      <w:pPr>
        <w:pStyle w:val="BodyTextIndent21"/>
        <w:keepNext/>
        <w:keepLines/>
        <w:spacing w:before="120" w:after="120"/>
        <w:ind w:left="0" w:firstLine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lastRenderedPageBreak/>
        <w:t>Порядок определения стоимости остатка ценных бумаг на счете депо.</w:t>
      </w:r>
    </w:p>
    <w:p w:rsid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>
        <w:rPr>
          <w:rFonts w:ascii="Times New Roman" w:hAnsi="Times New Roman"/>
          <w:b w:val="0"/>
          <w:bCs/>
          <w:sz w:val="18"/>
          <w:szCs w:val="24"/>
        </w:rPr>
        <w:t xml:space="preserve">Тарифы </w:t>
      </w:r>
      <w:r w:rsidRPr="00BA2D10">
        <w:rPr>
          <w:rFonts w:ascii="Times New Roman" w:hAnsi="Times New Roman"/>
          <w:b w:val="0"/>
          <w:bCs/>
          <w:sz w:val="18"/>
          <w:szCs w:val="24"/>
        </w:rPr>
        <w:t>комиссионного вознаграждения за услуги Депозитарий ООО ИКБ «</w:t>
      </w:r>
      <w:proofErr w:type="spellStart"/>
      <w:r w:rsidRPr="00BA2D10">
        <w:rPr>
          <w:rFonts w:ascii="Times New Roman" w:hAnsi="Times New Roman"/>
          <w:b w:val="0"/>
          <w:bCs/>
          <w:sz w:val="18"/>
          <w:szCs w:val="24"/>
        </w:rPr>
        <w:t>Совкомбанк</w:t>
      </w:r>
      <w:proofErr w:type="spellEnd"/>
      <w:r w:rsidRPr="00BA2D10">
        <w:rPr>
          <w:rFonts w:ascii="Times New Roman" w:hAnsi="Times New Roman"/>
          <w:b w:val="0"/>
          <w:bCs/>
          <w:sz w:val="18"/>
          <w:szCs w:val="24"/>
        </w:rPr>
        <w:t xml:space="preserve">» </w:t>
      </w:r>
      <w:r>
        <w:rPr>
          <w:rFonts w:ascii="Times New Roman" w:hAnsi="Times New Roman"/>
          <w:b w:val="0"/>
          <w:bCs/>
          <w:sz w:val="18"/>
          <w:szCs w:val="24"/>
        </w:rPr>
        <w:t>(далее – Тарифы) определяют размер оплаты депозитарных услуг ООО ИКБ «</w:t>
      </w:r>
      <w:proofErr w:type="spellStart"/>
      <w:r>
        <w:rPr>
          <w:rFonts w:ascii="Times New Roman" w:hAnsi="Times New Roman"/>
          <w:b w:val="0"/>
          <w:bCs/>
          <w:sz w:val="18"/>
          <w:szCs w:val="24"/>
        </w:rPr>
        <w:t>Совкомбанк</w:t>
      </w:r>
      <w:proofErr w:type="spellEnd"/>
      <w:r>
        <w:rPr>
          <w:rFonts w:ascii="Times New Roman" w:hAnsi="Times New Roman"/>
          <w:b w:val="0"/>
          <w:bCs/>
          <w:sz w:val="18"/>
          <w:szCs w:val="24"/>
        </w:rPr>
        <w:t>» (далее – Депозитарий)</w:t>
      </w:r>
      <w:r w:rsidR="000714CB">
        <w:rPr>
          <w:rFonts w:ascii="Times New Roman" w:hAnsi="Times New Roman"/>
          <w:b w:val="0"/>
          <w:bCs/>
          <w:sz w:val="18"/>
          <w:szCs w:val="24"/>
        </w:rPr>
        <w:t>, предоставляемых Депонентам</w:t>
      </w:r>
      <w:r>
        <w:rPr>
          <w:rFonts w:ascii="Times New Roman" w:hAnsi="Times New Roman"/>
          <w:b w:val="0"/>
          <w:bCs/>
          <w:sz w:val="18"/>
          <w:szCs w:val="24"/>
        </w:rPr>
        <w:t>.</w:t>
      </w:r>
    </w:p>
    <w:p w:rsid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>
        <w:rPr>
          <w:rFonts w:ascii="Times New Roman" w:hAnsi="Times New Roman"/>
          <w:b w:val="0"/>
          <w:bCs/>
          <w:sz w:val="18"/>
          <w:szCs w:val="24"/>
        </w:rPr>
        <w:t>Размер оплаты депозитарных услуг Депозитария установлен в рублях без учета НДС, если иное прямо не указано в Тарифах.</w:t>
      </w:r>
    </w:p>
    <w:p w:rsid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>
        <w:rPr>
          <w:rFonts w:ascii="Times New Roman" w:hAnsi="Times New Roman"/>
          <w:b w:val="0"/>
          <w:bCs/>
          <w:sz w:val="18"/>
          <w:szCs w:val="24"/>
        </w:rPr>
        <w:t>Оплата услуг Депозитария осуществляется в порядке и сроки установленные Условиями осуществления депозитарной деятельност</w:t>
      </w:r>
      <w:proofErr w:type="gramStart"/>
      <w:r>
        <w:rPr>
          <w:rFonts w:ascii="Times New Roman" w:hAnsi="Times New Roman"/>
          <w:b w:val="0"/>
          <w:bCs/>
          <w:sz w:val="18"/>
          <w:szCs w:val="24"/>
        </w:rPr>
        <w:t>и ООО</w:t>
      </w:r>
      <w:proofErr w:type="gramEnd"/>
      <w:r>
        <w:rPr>
          <w:rFonts w:ascii="Times New Roman" w:hAnsi="Times New Roman"/>
          <w:b w:val="0"/>
          <w:bCs/>
          <w:sz w:val="18"/>
          <w:szCs w:val="24"/>
        </w:rPr>
        <w:t xml:space="preserve"> ИКБ «</w:t>
      </w:r>
      <w:proofErr w:type="spellStart"/>
      <w:r>
        <w:rPr>
          <w:rFonts w:ascii="Times New Roman" w:hAnsi="Times New Roman"/>
          <w:b w:val="0"/>
          <w:bCs/>
          <w:sz w:val="18"/>
          <w:szCs w:val="24"/>
        </w:rPr>
        <w:t>Совкомбанк</w:t>
      </w:r>
      <w:proofErr w:type="spellEnd"/>
      <w:r>
        <w:rPr>
          <w:rFonts w:ascii="Times New Roman" w:hAnsi="Times New Roman"/>
          <w:b w:val="0"/>
          <w:bCs/>
          <w:sz w:val="18"/>
          <w:szCs w:val="24"/>
        </w:rPr>
        <w:t>»</w:t>
      </w:r>
    </w:p>
    <w:p w:rsidR="00BA2D10" w:rsidRP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 w:rsidRPr="00BA2D10">
        <w:rPr>
          <w:rFonts w:ascii="Times New Roman" w:hAnsi="Times New Roman"/>
          <w:b w:val="0"/>
          <w:bCs/>
          <w:sz w:val="18"/>
        </w:rPr>
        <w:t xml:space="preserve">Плата за услуги по хранению ценных бумаг и/или учету прав на ценные бумаги может включать иные услуги, оказываемые Депозитарием Депоненту. </w:t>
      </w:r>
      <w:r>
        <w:rPr>
          <w:rFonts w:ascii="Times New Roman" w:hAnsi="Times New Roman"/>
          <w:b w:val="0"/>
          <w:bCs/>
          <w:sz w:val="18"/>
        </w:rPr>
        <w:t>Стоимость услуг, порядок расчетов в этом случае, оговаривается с Депонентом путем заключения дополнительного соглашения к Условиям осуществления депозитарной деятельност</w:t>
      </w:r>
      <w:proofErr w:type="gramStart"/>
      <w:r>
        <w:rPr>
          <w:rFonts w:ascii="Times New Roman" w:hAnsi="Times New Roman"/>
          <w:b w:val="0"/>
          <w:bCs/>
          <w:sz w:val="18"/>
        </w:rPr>
        <w:t>и ООО</w:t>
      </w:r>
      <w:proofErr w:type="gramEnd"/>
      <w:r>
        <w:rPr>
          <w:rFonts w:ascii="Times New Roman" w:hAnsi="Times New Roman"/>
          <w:b w:val="0"/>
          <w:bCs/>
          <w:sz w:val="18"/>
        </w:rPr>
        <w:t xml:space="preserve"> ИКБ «</w:t>
      </w:r>
      <w:proofErr w:type="spellStart"/>
      <w:r>
        <w:rPr>
          <w:rFonts w:ascii="Times New Roman" w:hAnsi="Times New Roman"/>
          <w:b w:val="0"/>
          <w:bCs/>
          <w:sz w:val="18"/>
        </w:rPr>
        <w:t>Совкомбанк</w:t>
      </w:r>
      <w:proofErr w:type="spellEnd"/>
      <w:r>
        <w:rPr>
          <w:rFonts w:ascii="Times New Roman" w:hAnsi="Times New Roman"/>
          <w:b w:val="0"/>
          <w:bCs/>
          <w:sz w:val="18"/>
        </w:rPr>
        <w:t>»</w:t>
      </w:r>
      <w:r w:rsidR="008457BF">
        <w:rPr>
          <w:rFonts w:ascii="Times New Roman" w:hAnsi="Times New Roman"/>
          <w:b w:val="0"/>
          <w:bCs/>
          <w:sz w:val="18"/>
        </w:rPr>
        <w:t>. Заключение указанных соглашений остается на усмотрение Депозитария.</w:t>
      </w:r>
    </w:p>
    <w:p w:rsidR="00BA2D10" w:rsidRP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 w:rsidRPr="00BA2D10">
        <w:rPr>
          <w:rFonts w:ascii="Times New Roman" w:hAnsi="Times New Roman"/>
          <w:b w:val="0"/>
          <w:bCs/>
          <w:sz w:val="18"/>
        </w:rPr>
        <w:t>При определении размера оплаты услуг Депозитария по хранению и/или учету прав на ценные бумаги из расчета стоимости остатка ценных бумаг исключаются ценные бумаги, срок обращения которых истек.</w:t>
      </w:r>
    </w:p>
    <w:p w:rsidR="00BA2D10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8"/>
          <w:szCs w:val="16"/>
        </w:rPr>
      </w:pPr>
      <w:r w:rsidRPr="00202222">
        <w:rPr>
          <w:rFonts w:ascii="Times New Roman" w:hAnsi="Times New Roman"/>
          <w:b w:val="0"/>
          <w:bCs/>
          <w:sz w:val="18"/>
          <w:szCs w:val="16"/>
        </w:rPr>
        <w:t xml:space="preserve">Для целей  определения размеров оплаты услуг Депозитария различные виды ценных бумаг объединены в группы, указанные в соответствующих пунктах Тарифов. </w:t>
      </w:r>
    </w:p>
    <w:p w:rsidR="00BA2D10" w:rsidRPr="00202222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8"/>
          <w:szCs w:val="16"/>
        </w:rPr>
      </w:pPr>
      <w:r w:rsidRPr="00202222">
        <w:rPr>
          <w:rFonts w:ascii="Times New Roman" w:hAnsi="Times New Roman"/>
          <w:b w:val="0"/>
          <w:bCs/>
          <w:sz w:val="18"/>
          <w:szCs w:val="16"/>
        </w:rPr>
        <w:t>Ежемесячная плата за услуги по хранению ценных бумаг и/или учету прав на ценные бумаги определяется как сумма величин, исчисленных в соответствии с указанными в Тарифах ставками ежемесячной платы за услуги по хранению ценных бумаг и/или учету прав на ценные бумаги каждой группы.</w:t>
      </w:r>
    </w:p>
    <w:p w:rsidR="00BA2D10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b w:val="0"/>
          <w:bCs/>
          <w:sz w:val="18"/>
          <w:szCs w:val="24"/>
        </w:rPr>
        <w:t xml:space="preserve"> </w:t>
      </w:r>
      <w:r>
        <w:rPr>
          <w:rFonts w:ascii="Times New Roman" w:hAnsi="Times New Roman"/>
          <w:b w:val="0"/>
          <w:bCs/>
          <w:sz w:val="18"/>
        </w:rPr>
        <w:t xml:space="preserve">Стоимость остатка ценных бумаг рассчитывается как сумма средневзвешенных стоимостей остатков всех выпусков ценных бумаг данной группы, учитываемых на счете депо Депонента в расчетном месяце, по календарным дням месяца. Стоимость остатка по каждому выпуску ценных бумаг за календарный день определяется как произведение остатка в штуках на конец дня на рыночную цену ценных бумаг этого выпуска. Для выходных и праздничных дней значения остатка в штуках и рыночной цены выпуска принимаются </w:t>
      </w:r>
      <w:proofErr w:type="gramStart"/>
      <w:r>
        <w:rPr>
          <w:rFonts w:ascii="Times New Roman" w:hAnsi="Times New Roman"/>
          <w:b w:val="0"/>
          <w:bCs/>
          <w:sz w:val="18"/>
        </w:rPr>
        <w:t>равными</w:t>
      </w:r>
      <w:proofErr w:type="gramEnd"/>
      <w:r>
        <w:rPr>
          <w:rFonts w:ascii="Times New Roman" w:hAnsi="Times New Roman"/>
          <w:b w:val="0"/>
          <w:bCs/>
          <w:sz w:val="18"/>
        </w:rPr>
        <w:t xml:space="preserve"> значениям за предшествующий рабочий день. Рыночная </w:t>
      </w:r>
      <w:r w:rsidR="00334AC7">
        <w:rPr>
          <w:rFonts w:ascii="Times New Roman" w:hAnsi="Times New Roman"/>
          <w:b w:val="0"/>
          <w:bCs/>
          <w:sz w:val="18"/>
        </w:rPr>
        <w:t>стоимость для определения размера Тарифа Депозитария</w:t>
      </w:r>
      <w:r>
        <w:rPr>
          <w:rFonts w:ascii="Times New Roman" w:hAnsi="Times New Roman"/>
          <w:b w:val="0"/>
          <w:bCs/>
          <w:sz w:val="18"/>
        </w:rPr>
        <w:t xml:space="preserve"> определяется </w:t>
      </w:r>
      <w:r w:rsidR="00AD7F34">
        <w:rPr>
          <w:rFonts w:ascii="Times New Roman" w:hAnsi="Times New Roman"/>
          <w:b w:val="0"/>
          <w:bCs/>
          <w:sz w:val="18"/>
        </w:rPr>
        <w:t>в следующем порядке:</w:t>
      </w:r>
    </w:p>
    <w:p w:rsidR="008457BF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8457BF">
        <w:rPr>
          <w:rFonts w:ascii="Times New Roman" w:hAnsi="Times New Roman"/>
          <w:b w:val="0"/>
          <w:bCs/>
          <w:sz w:val="18"/>
        </w:rPr>
        <w:t>при оценке рыночной стоимости акций акционерных обществ, инвестиционных паев паевых инвестиционных фондов и депозитарных расписок используется</w:t>
      </w:r>
      <w:r w:rsidR="008457BF" w:rsidRPr="008457BF">
        <w:rPr>
          <w:rFonts w:ascii="Times New Roman" w:hAnsi="Times New Roman"/>
          <w:b w:val="0"/>
          <w:bCs/>
          <w:sz w:val="18"/>
        </w:rPr>
        <w:t xml:space="preserve"> доступная Депозитарию</w:t>
      </w:r>
      <w:r w:rsidRPr="008457BF">
        <w:rPr>
          <w:rFonts w:ascii="Times New Roman" w:hAnsi="Times New Roman"/>
          <w:b w:val="0"/>
          <w:bCs/>
          <w:sz w:val="18"/>
        </w:rPr>
        <w:t xml:space="preserve"> информация, официально предоставляемая организаторами торговли</w:t>
      </w:r>
      <w:r w:rsidR="008457BF" w:rsidRPr="008457BF">
        <w:rPr>
          <w:rFonts w:ascii="Times New Roman" w:hAnsi="Times New Roman"/>
          <w:b w:val="0"/>
          <w:bCs/>
          <w:sz w:val="18"/>
        </w:rPr>
        <w:t>.</w:t>
      </w:r>
      <w:r w:rsidRPr="008457BF">
        <w:rPr>
          <w:rFonts w:ascii="Times New Roman" w:hAnsi="Times New Roman"/>
          <w:b w:val="0"/>
          <w:bCs/>
          <w:sz w:val="18"/>
        </w:rPr>
        <w:t xml:space="preserve"> </w:t>
      </w:r>
      <w:r w:rsidR="008457BF" w:rsidRPr="008457BF">
        <w:rPr>
          <w:rFonts w:ascii="Times New Roman" w:hAnsi="Times New Roman"/>
          <w:b w:val="0"/>
          <w:bCs/>
          <w:sz w:val="18"/>
        </w:rPr>
        <w:t>П</w:t>
      </w:r>
      <w:r w:rsidRPr="008457BF">
        <w:rPr>
          <w:rFonts w:ascii="Times New Roman" w:hAnsi="Times New Roman"/>
          <w:b w:val="0"/>
          <w:bCs/>
          <w:sz w:val="18"/>
        </w:rPr>
        <w:t>риоритетной считается цена ценной бумаги, рассчитанная ММВБ</w:t>
      </w:r>
      <w:r w:rsidR="008457BF" w:rsidRPr="008457BF">
        <w:rPr>
          <w:rFonts w:ascii="Times New Roman" w:hAnsi="Times New Roman"/>
          <w:b w:val="0"/>
          <w:bCs/>
          <w:sz w:val="18"/>
        </w:rPr>
        <w:t xml:space="preserve"> (рыночная цена (3))</w:t>
      </w:r>
      <w:r w:rsidRPr="008457BF">
        <w:rPr>
          <w:rFonts w:ascii="Times New Roman" w:hAnsi="Times New Roman"/>
          <w:b w:val="0"/>
          <w:bCs/>
          <w:sz w:val="18"/>
        </w:rPr>
        <w:t xml:space="preserve">. </w:t>
      </w:r>
    </w:p>
    <w:p w:rsidR="00334AC7" w:rsidRPr="008457BF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b w:val="0"/>
          <w:bCs/>
          <w:sz w:val="18"/>
        </w:rPr>
        <w:t>п</w:t>
      </w:r>
      <w:r w:rsidR="00334AC7" w:rsidRPr="008457BF">
        <w:rPr>
          <w:rFonts w:ascii="Times New Roman" w:hAnsi="Times New Roman"/>
          <w:b w:val="0"/>
          <w:bCs/>
          <w:sz w:val="18"/>
        </w:rPr>
        <w:t>ри отсутствии данных о р</w:t>
      </w:r>
      <w:r w:rsidR="008457BF" w:rsidRPr="008457BF">
        <w:rPr>
          <w:rFonts w:ascii="Times New Roman" w:hAnsi="Times New Roman"/>
          <w:b w:val="0"/>
          <w:bCs/>
          <w:sz w:val="18"/>
        </w:rPr>
        <w:t xml:space="preserve">ыночной цене акций конкретного </w:t>
      </w:r>
      <w:r w:rsidR="00334AC7" w:rsidRPr="008457BF">
        <w:rPr>
          <w:rFonts w:ascii="Times New Roman" w:hAnsi="Times New Roman"/>
          <w:b w:val="0"/>
          <w:bCs/>
          <w:sz w:val="18"/>
        </w:rPr>
        <w:t>эмитента или конкретного вы</w:t>
      </w:r>
      <w:r w:rsidR="008457BF" w:rsidRPr="008457BF">
        <w:rPr>
          <w:rFonts w:ascii="Times New Roman" w:hAnsi="Times New Roman"/>
          <w:b w:val="0"/>
          <w:bCs/>
          <w:sz w:val="18"/>
        </w:rPr>
        <w:t>пуска депозитарных расписок или</w:t>
      </w:r>
      <w:r w:rsidR="00334AC7" w:rsidRPr="008457BF">
        <w:rPr>
          <w:rFonts w:ascii="Times New Roman" w:hAnsi="Times New Roman"/>
          <w:b w:val="0"/>
          <w:bCs/>
          <w:sz w:val="18"/>
        </w:rPr>
        <w:t xml:space="preserve"> инвестиционных паев конкретного паевого инвестиционного фонда для оценки рыночной стоимости принимается последняя по времени рыночная цена по предоставленным данным </w:t>
      </w:r>
      <w:proofErr w:type="gramStart"/>
      <w:r w:rsidR="00334AC7" w:rsidRPr="008457BF">
        <w:rPr>
          <w:rFonts w:ascii="Times New Roman" w:hAnsi="Times New Roman"/>
          <w:b w:val="0"/>
          <w:bCs/>
          <w:sz w:val="18"/>
        </w:rPr>
        <w:t>за</w:t>
      </w:r>
      <w:proofErr w:type="gramEnd"/>
      <w:r w:rsidR="00334AC7" w:rsidRPr="008457BF">
        <w:rPr>
          <w:rFonts w:ascii="Times New Roman" w:hAnsi="Times New Roman"/>
          <w:b w:val="0"/>
          <w:bCs/>
          <w:sz w:val="18"/>
        </w:rPr>
        <w:t xml:space="preserve"> последние 90 торговых дней;</w:t>
      </w:r>
    </w:p>
    <w:p w:rsidR="00334AC7" w:rsidRPr="00334AC7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334AC7">
        <w:rPr>
          <w:rFonts w:ascii="Times New Roman" w:hAnsi="Times New Roman"/>
          <w:b w:val="0"/>
          <w:bCs/>
          <w:sz w:val="18"/>
        </w:rPr>
        <w:t xml:space="preserve">при отсутствии данных о рыночной цене ценных бумаг конкретного эмитента за </w:t>
      </w:r>
      <w:proofErr w:type="gramStart"/>
      <w:r w:rsidRPr="00334AC7">
        <w:rPr>
          <w:rFonts w:ascii="Times New Roman" w:hAnsi="Times New Roman"/>
          <w:b w:val="0"/>
          <w:bCs/>
          <w:sz w:val="18"/>
        </w:rPr>
        <w:t>последние</w:t>
      </w:r>
      <w:proofErr w:type="gramEnd"/>
      <w:r w:rsidRPr="00334AC7">
        <w:rPr>
          <w:rFonts w:ascii="Times New Roman" w:hAnsi="Times New Roman"/>
          <w:b w:val="0"/>
          <w:bCs/>
          <w:sz w:val="18"/>
        </w:rPr>
        <w:t xml:space="preserve"> 90 торговых дней, рыночная цена этих ценных бумаг принимается равной нулю;</w:t>
      </w:r>
    </w:p>
    <w:p w:rsidR="00334AC7" w:rsidRPr="00334AC7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334AC7">
        <w:rPr>
          <w:rFonts w:ascii="Times New Roman" w:hAnsi="Times New Roman"/>
          <w:b w:val="0"/>
          <w:bCs/>
          <w:sz w:val="18"/>
        </w:rPr>
        <w:t>если при оценке стоимости конкретной ценной бумаги Организатором торговли предоставлено более одного значения ее рыночной цены, то используется среднее арифметическое значение;</w:t>
      </w:r>
    </w:p>
    <w:p w:rsidR="00334AC7" w:rsidRPr="00334AC7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334AC7">
        <w:rPr>
          <w:rFonts w:ascii="Times New Roman" w:hAnsi="Times New Roman"/>
          <w:b w:val="0"/>
          <w:bCs/>
          <w:sz w:val="18"/>
        </w:rPr>
        <w:t>при оценке федеральных, субфедеральных и муниципальных облигационных займов, а также еврооблигаций и корпоративных облигаций для целей настоящего документа рыночной ценой считается величина номинальной стоимости соответствующей облигации;</w:t>
      </w:r>
    </w:p>
    <w:p w:rsidR="00334AC7" w:rsidRPr="00334AC7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334AC7">
        <w:rPr>
          <w:rFonts w:ascii="Times New Roman" w:hAnsi="Times New Roman"/>
          <w:b w:val="0"/>
          <w:bCs/>
          <w:sz w:val="18"/>
        </w:rPr>
        <w:t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рыночной ценой считается величина непогашенной части номинальной стоимости соответствующей облигации;</w:t>
      </w:r>
    </w:p>
    <w:p w:rsidR="007E163C" w:rsidRPr="007E163C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 w:rsidRPr="00334AC7">
        <w:rPr>
          <w:rFonts w:ascii="Times New Roman" w:hAnsi="Times New Roman"/>
          <w:b w:val="0"/>
          <w:bCs/>
          <w:sz w:val="18"/>
        </w:rPr>
        <w:t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рыночной ценой считается номинальная стоимость соответствующей облигации.</w:t>
      </w:r>
    </w:p>
    <w:p w:rsidR="00AD7F3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b w:val="0"/>
          <w:bCs/>
          <w:sz w:val="18"/>
        </w:rPr>
        <w:lastRenderedPageBreak/>
        <w:t>о</w:t>
      </w:r>
      <w:r w:rsidR="00334AC7" w:rsidRPr="00334AC7">
        <w:rPr>
          <w:rFonts w:ascii="Times New Roman" w:hAnsi="Times New Roman"/>
          <w:b w:val="0"/>
          <w:bCs/>
          <w:sz w:val="18"/>
        </w:rPr>
        <w:t>пределяемый в соответствии с настоящим документом показатель «рыночная стоимость ценных бумаг» выражается в рублях Российской Федерации. При использовании в расчетах рыночных цен, выраженных в иностранной валюте, рыночная стоимость соответствующих ценных бумаг в иностранной валюте пересчитывается в рубли Российской Федерации по курсу, установленному Центральным банком Российской Федерации на дату расчетов. Если Центральный банк Российской Федерации не устанавливает курс по валюте, в которой рассчитана рыночная стоимость соответствующей ценной бумаги, то используется средняя цена из информации, предоставленной Информационным агентом для расчета курса такой валюты в рублях в соответствии с рекомендациями Центрального банка Российской Федерации.</w:t>
      </w:r>
    </w:p>
    <w:p w:rsidR="007E163C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b w:val="0"/>
          <w:bCs/>
          <w:sz w:val="18"/>
        </w:rPr>
        <w:t>при оценке стоимости хранения сертификатов ценных бумаг</w:t>
      </w:r>
      <w:r w:rsidR="00916A57">
        <w:rPr>
          <w:rFonts w:ascii="Times New Roman" w:hAnsi="Times New Roman"/>
          <w:b w:val="0"/>
          <w:bCs/>
          <w:sz w:val="18"/>
        </w:rPr>
        <w:t>,</w:t>
      </w:r>
      <w:r>
        <w:rPr>
          <w:rFonts w:ascii="Times New Roman" w:hAnsi="Times New Roman"/>
          <w:b w:val="0"/>
          <w:bCs/>
          <w:sz w:val="18"/>
        </w:rPr>
        <w:t xml:space="preserve"> </w:t>
      </w:r>
      <w:r w:rsidR="00916A57" w:rsidRPr="00334AC7">
        <w:rPr>
          <w:rFonts w:ascii="Times New Roman" w:hAnsi="Times New Roman"/>
          <w:b w:val="0"/>
          <w:bCs/>
          <w:sz w:val="18"/>
        </w:rPr>
        <w:t xml:space="preserve">для целей настоящего документа рыночной ценой </w:t>
      </w:r>
      <w:r w:rsidR="00916A57">
        <w:rPr>
          <w:rFonts w:ascii="Times New Roman" w:hAnsi="Times New Roman"/>
          <w:b w:val="0"/>
          <w:bCs/>
          <w:sz w:val="18"/>
        </w:rPr>
        <w:t>признается</w:t>
      </w:r>
      <w:r w:rsidR="00916A57" w:rsidRPr="00334AC7">
        <w:rPr>
          <w:rFonts w:ascii="Times New Roman" w:hAnsi="Times New Roman"/>
          <w:b w:val="0"/>
          <w:bCs/>
          <w:sz w:val="18"/>
        </w:rPr>
        <w:t xml:space="preserve"> </w:t>
      </w:r>
      <w:r>
        <w:rPr>
          <w:rFonts w:ascii="Times New Roman" w:hAnsi="Times New Roman"/>
          <w:b w:val="0"/>
          <w:bCs/>
          <w:sz w:val="18"/>
        </w:rPr>
        <w:t>суммарная номинальная стоимость всех серти</w:t>
      </w:r>
      <w:r w:rsidR="00916A57">
        <w:rPr>
          <w:rFonts w:ascii="Times New Roman" w:hAnsi="Times New Roman"/>
          <w:b w:val="0"/>
          <w:bCs/>
          <w:sz w:val="18"/>
        </w:rPr>
        <w:t>фикатов ценных бумаг, помещенных Депонентом на хранение.</w:t>
      </w:r>
    </w:p>
    <w:p w:rsidR="00BA2D10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>
        <w:rPr>
          <w:rFonts w:ascii="Times New Roman" w:hAnsi="Times New Roman"/>
          <w:b w:val="0"/>
          <w:bCs/>
          <w:sz w:val="18"/>
          <w:szCs w:val="24"/>
        </w:rPr>
        <w:t xml:space="preserve"> Плата за услуги Депозитария по исполнению инвентарных операций по счету депо взимается за количество исполненных операций.</w:t>
      </w:r>
    </w:p>
    <w:p w:rsidR="005C64AD" w:rsidRDefault="005C64AD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8"/>
          <w:szCs w:val="24"/>
        </w:rPr>
      </w:pPr>
      <w:r>
        <w:rPr>
          <w:rFonts w:ascii="Times New Roman" w:hAnsi="Times New Roman"/>
          <w:b w:val="0"/>
          <w:bCs/>
          <w:sz w:val="18"/>
          <w:szCs w:val="24"/>
        </w:rPr>
        <w:t>Ставки ежемесячной платы за услуги по учету прав на акции ОАО «Газпром» рассчитываются следующим образом:</w:t>
      </w:r>
    </w:p>
    <w:p w:rsidR="005C64AD" w:rsidRDefault="005C64AD" w:rsidP="005C64AD">
      <w:pPr>
        <w:pStyle w:val="BodyTextIndent21"/>
        <w:keepNext/>
        <w:keepLines/>
        <w:numPr>
          <w:ilvl w:val="0"/>
          <w:numId w:val="5"/>
        </w:numPr>
        <w:jc w:val="both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b w:val="0"/>
          <w:bCs/>
          <w:sz w:val="18"/>
        </w:rPr>
        <w:t>к процентным ставкам, указанным в п.2.2 Тарифов прибавляется 0,001.</w:t>
      </w:r>
    </w:p>
    <w:p w:rsidR="005C64AD" w:rsidRDefault="005C64AD" w:rsidP="005C64AD">
      <w:pPr>
        <w:pStyle w:val="BodyTextIndent21"/>
        <w:keepNext/>
        <w:keepLines/>
        <w:ind w:left="720" w:firstLine="0"/>
        <w:jc w:val="both"/>
        <w:rPr>
          <w:rFonts w:ascii="Times New Roman" w:hAnsi="Times New Roman"/>
          <w:b w:val="0"/>
          <w:bCs/>
          <w:sz w:val="18"/>
          <w:szCs w:val="24"/>
        </w:rPr>
      </w:pPr>
    </w:p>
    <w:sectPr w:rsidR="005C64AD" w:rsidSect="00D95234">
      <w:headerReference w:type="default" r:id="rId9"/>
      <w:footerReference w:type="default" r:id="rId10"/>
      <w:headerReference w:type="first" r:id="rId11"/>
      <w:footnotePr>
        <w:pos w:val="beneathText"/>
      </w:footnotePr>
      <w:endnotePr>
        <w:numFmt w:val="decimal"/>
      </w:endnotePr>
      <w:pgSz w:w="16838" w:h="11906" w:orient="landscape"/>
      <w:pgMar w:top="1080" w:right="1134" w:bottom="709" w:left="540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42" w:rsidRDefault="00463F42">
      <w:r>
        <w:separator/>
      </w:r>
    </w:p>
  </w:endnote>
  <w:endnote w:type="continuationSeparator" w:id="0">
    <w:p w:rsidR="00463F42" w:rsidRDefault="00463F42">
      <w:r>
        <w:continuationSeparator/>
      </w:r>
    </w:p>
  </w:endnote>
  <w:endnote w:id="1">
    <w:p w:rsidR="008D3993" w:rsidRDefault="008D3993">
      <w:pPr>
        <w:pStyle w:val="a4"/>
      </w:pPr>
      <w:r>
        <w:rPr>
          <w:rStyle w:val="a5"/>
        </w:rPr>
        <w:endnoteRef/>
      </w:r>
      <w:r>
        <w:t xml:space="preserve"> </w:t>
      </w:r>
      <w:r w:rsidR="004A0B7E">
        <w:t xml:space="preserve">Для </w:t>
      </w:r>
      <w:proofErr w:type="gramStart"/>
      <w:r w:rsidR="004A0B7E">
        <w:t>ценных бумаг, выпущенных иностранными эмитентами т</w:t>
      </w:r>
      <w:r w:rsidRPr="00E953A9">
        <w:rPr>
          <w:sz w:val="18"/>
        </w:rPr>
        <w:t>ариф в</w:t>
      </w:r>
      <w:r>
        <w:rPr>
          <w:sz w:val="18"/>
        </w:rPr>
        <w:t>зимается</w:t>
      </w:r>
      <w:proofErr w:type="gramEnd"/>
      <w:r>
        <w:rPr>
          <w:sz w:val="18"/>
        </w:rPr>
        <w:t xml:space="preserve"> в случае хранения и/или учета ценных бумаг</w:t>
      </w:r>
      <w:r w:rsidRPr="00E953A9">
        <w:rPr>
          <w:sz w:val="18"/>
        </w:rPr>
        <w:t xml:space="preserve"> в международных депозитариях </w:t>
      </w:r>
      <w:proofErr w:type="spellStart"/>
      <w:r w:rsidRPr="00E953A9">
        <w:rPr>
          <w:sz w:val="18"/>
          <w:lang w:val="en-US"/>
        </w:rPr>
        <w:t>Euroclear</w:t>
      </w:r>
      <w:proofErr w:type="spellEnd"/>
      <w:r w:rsidRPr="00E953A9">
        <w:rPr>
          <w:sz w:val="18"/>
        </w:rPr>
        <w:t xml:space="preserve">, </w:t>
      </w:r>
      <w:proofErr w:type="spellStart"/>
      <w:r w:rsidRPr="00E953A9">
        <w:rPr>
          <w:sz w:val="18"/>
          <w:lang w:val="en-US"/>
        </w:rPr>
        <w:t>Clearstream</w:t>
      </w:r>
      <w:proofErr w:type="spellEnd"/>
      <w:r w:rsidRPr="00E953A9">
        <w:rPr>
          <w:sz w:val="18"/>
        </w:rPr>
        <w:t xml:space="preserve">. </w:t>
      </w:r>
      <w:r>
        <w:rPr>
          <w:sz w:val="18"/>
        </w:rPr>
        <w:t xml:space="preserve">В случае хранения и/или учета ценных бумаг в иных </w:t>
      </w:r>
      <w:r w:rsidRPr="00E953A9">
        <w:rPr>
          <w:sz w:val="18"/>
        </w:rPr>
        <w:t>Депозитариях</w:t>
      </w:r>
      <w:r>
        <w:rPr>
          <w:sz w:val="18"/>
        </w:rPr>
        <w:t>,</w:t>
      </w:r>
      <w:r w:rsidRPr="00E953A9">
        <w:rPr>
          <w:sz w:val="18"/>
        </w:rPr>
        <w:t xml:space="preserve"> </w:t>
      </w:r>
      <w:r w:rsidR="004A0B7E">
        <w:rPr>
          <w:sz w:val="18"/>
        </w:rPr>
        <w:t>комиссия Депозитария устанавливается</w:t>
      </w:r>
      <w:r w:rsidRPr="00E953A9">
        <w:rPr>
          <w:sz w:val="18"/>
        </w:rPr>
        <w:t xml:space="preserve"> в соответствии с заключенными дополнительными соглашениями к Условиям осуществления Депозитарной деятельности.</w:t>
      </w:r>
      <w:r>
        <w:rPr>
          <w:sz w:val="18"/>
        </w:rPr>
        <w:t xml:space="preserve"> Заключение соглашений остается на усмотрении Депозитария.</w:t>
      </w:r>
    </w:p>
  </w:endnote>
  <w:endnote w:id="2">
    <w:p w:rsidR="005C64AD" w:rsidRDefault="005C64AD">
      <w:pPr>
        <w:pStyle w:val="a4"/>
      </w:pPr>
      <w:r>
        <w:rPr>
          <w:rStyle w:val="a5"/>
        </w:rPr>
        <w:endnoteRef/>
      </w:r>
      <w:r>
        <w:t xml:space="preserve"> </w:t>
      </w:r>
      <w:r w:rsidRPr="008D3993">
        <w:rPr>
          <w:sz w:val="18"/>
        </w:rPr>
        <w:t>Ставки ежемесячной платы за услуги по учету прав на акции ОАО «Газпром»</w:t>
      </w:r>
      <w:r w:rsidR="000D5876" w:rsidRPr="008D3993">
        <w:rPr>
          <w:sz w:val="18"/>
        </w:rPr>
        <w:t xml:space="preserve"> составляют ставки</w:t>
      </w:r>
      <w:r w:rsidRPr="008D3993">
        <w:rPr>
          <w:sz w:val="18"/>
        </w:rPr>
        <w:t>, указанные в п. 2.2 настоящих Тарифов, увеличенные на 0,001</w:t>
      </w:r>
      <w:r w:rsidR="000D5876" w:rsidRPr="008D3993">
        <w:rPr>
          <w:sz w:val="18"/>
        </w:rPr>
        <w:t>.</w:t>
      </w:r>
      <w:r w:rsidR="000D5876">
        <w:t xml:space="preserve"> </w:t>
      </w:r>
    </w:p>
  </w:endnote>
  <w:endnote w:id="3">
    <w:p w:rsidR="00EC1B85" w:rsidRPr="00916A57" w:rsidRDefault="00EC1B85">
      <w:pPr>
        <w:pStyle w:val="a4"/>
      </w:pPr>
      <w:r w:rsidRPr="00E953A9">
        <w:rPr>
          <w:rStyle w:val="a5"/>
          <w:sz w:val="18"/>
        </w:rPr>
        <w:endnoteRef/>
      </w:r>
      <w:r w:rsidRPr="00E953A9">
        <w:rPr>
          <w:sz w:val="18"/>
        </w:rPr>
        <w:t xml:space="preserve"> Тариф взимается в случае осуществления расчетов в международных депозитариях </w:t>
      </w:r>
      <w:proofErr w:type="spellStart"/>
      <w:r w:rsidRPr="00E953A9">
        <w:rPr>
          <w:sz w:val="18"/>
          <w:lang w:val="en-US"/>
        </w:rPr>
        <w:t>Euroclear</w:t>
      </w:r>
      <w:proofErr w:type="spellEnd"/>
      <w:r w:rsidRPr="00E953A9">
        <w:rPr>
          <w:sz w:val="18"/>
        </w:rPr>
        <w:t xml:space="preserve">, </w:t>
      </w:r>
      <w:proofErr w:type="spellStart"/>
      <w:r w:rsidRPr="00E953A9">
        <w:rPr>
          <w:sz w:val="18"/>
          <w:lang w:val="en-US"/>
        </w:rPr>
        <w:t>Clearstream</w:t>
      </w:r>
      <w:proofErr w:type="spellEnd"/>
      <w:r w:rsidRPr="00E953A9">
        <w:rPr>
          <w:sz w:val="18"/>
        </w:rPr>
        <w:t>. Расчеты</w:t>
      </w:r>
      <w:r>
        <w:rPr>
          <w:sz w:val="18"/>
        </w:rPr>
        <w:t>,</w:t>
      </w:r>
      <w:r w:rsidRPr="00E953A9">
        <w:rPr>
          <w:sz w:val="18"/>
        </w:rPr>
        <w:t xml:space="preserve"> производимые в иных Депозитариях</w:t>
      </w:r>
      <w:r>
        <w:rPr>
          <w:sz w:val="18"/>
        </w:rPr>
        <w:t>,</w:t>
      </w:r>
      <w:r w:rsidRPr="00E953A9">
        <w:rPr>
          <w:sz w:val="18"/>
        </w:rPr>
        <w:t xml:space="preserve"> оплачиваются в соответствии с заключенными дополнительными соглашениями к Условиям осуществления Депозитарной деятельности.</w:t>
      </w:r>
      <w:r>
        <w:rPr>
          <w:sz w:val="18"/>
        </w:rPr>
        <w:t xml:space="preserve"> Заключение соглашений остается на усмотрении Депозитария.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7C" w:rsidRDefault="00491B7C" w:rsidP="00D95234">
    <w:pPr>
      <w:pStyle w:val="a7"/>
      <w:jc w:val="both"/>
    </w:pPr>
    <w:r>
      <w:t>С Тарифами комиссионного вознаграждения за услуги Депозитария ООО ИКБ «</w:t>
    </w:r>
    <w:proofErr w:type="spellStart"/>
    <w:r>
      <w:t>Совкомбанк</w:t>
    </w:r>
    <w:proofErr w:type="spellEnd"/>
    <w:r>
      <w:t xml:space="preserve">» </w:t>
    </w:r>
    <w:proofErr w:type="gramStart"/>
    <w:r>
      <w:t>ознакомлен</w:t>
    </w:r>
    <w:proofErr w:type="gramEnd"/>
    <w:r>
      <w:t>. Порядок расчета  и оплаты мне понятен.</w:t>
    </w:r>
  </w:p>
  <w:p w:rsidR="00D95234" w:rsidRDefault="00D95234">
    <w:pPr>
      <w:pStyle w:val="a7"/>
    </w:pPr>
  </w:p>
  <w:p w:rsidR="00491B7C" w:rsidRDefault="00491B7C">
    <w:pPr>
      <w:pStyle w:val="a7"/>
    </w:pPr>
    <w:r>
      <w:t xml:space="preserve">«_________» ___________________________ 20______            </w:t>
    </w:r>
    <w:r w:rsidR="00D95234">
      <w:t xml:space="preserve">                                                                               </w:t>
    </w:r>
    <w:r>
      <w:t xml:space="preserve"> _______________________________/________________________/</w:t>
    </w:r>
  </w:p>
  <w:p w:rsidR="00491B7C" w:rsidRDefault="00491B7C">
    <w:pPr>
      <w:pStyle w:val="a7"/>
    </w:pPr>
    <w:r>
      <w:tab/>
      <w:t xml:space="preserve">                                                                               </w:t>
    </w:r>
    <w:r w:rsidR="00D95234">
      <w:t xml:space="preserve">                                                                                                                 </w:t>
    </w:r>
    <w:r>
      <w:t xml:space="preserve">        (подпись)</w:t>
    </w:r>
    <w:r>
      <w:tab/>
      <w:t xml:space="preserve">                               (Фамилия, инициалы)</w:t>
    </w:r>
  </w:p>
  <w:p w:rsidR="00D95234" w:rsidRDefault="00D95234">
    <w:pPr>
      <w:pStyle w:val="a7"/>
    </w:pPr>
  </w:p>
  <w:p w:rsidR="00491B7C" w:rsidRDefault="00491B7C">
    <w:pPr>
      <w:pStyle w:val="a7"/>
    </w:pPr>
    <w:r>
      <w:t>_________________</w:t>
    </w:r>
    <w:r w:rsidR="00D95234">
      <w:t>_______________________________________________________</w:t>
    </w:r>
    <w:r>
      <w:t xml:space="preserve"> </w:t>
    </w:r>
    <w:r w:rsidR="00D95234">
      <w:t xml:space="preserve">                     М.</w:t>
    </w:r>
    <w:proofErr w:type="gramStart"/>
    <w:r w:rsidR="00D95234">
      <w:t>П</w:t>
    </w:r>
    <w:proofErr w:type="gramEnd"/>
    <w:r w:rsidR="00D95234">
      <w:t>,</w:t>
    </w:r>
  </w:p>
  <w:p w:rsidR="00491B7C" w:rsidRDefault="00D95234">
    <w:pPr>
      <w:pStyle w:val="a7"/>
    </w:pPr>
    <w:r>
      <w:t xml:space="preserve">                        </w:t>
    </w:r>
    <w:r w:rsidR="00491B7C">
      <w:t>(Наименование – указывается для юридических лиц</w:t>
    </w:r>
    <w:r w:rsidRPr="00D95234">
      <w:rPr>
        <w:sz w:val="16"/>
        <w:szCs w:val="16"/>
      </w:rPr>
      <w:t xml:space="preserve">)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</w:t>
    </w:r>
    <w:r w:rsidRPr="00D95234">
      <w:rPr>
        <w:sz w:val="16"/>
        <w:szCs w:val="16"/>
      </w:rPr>
      <w:t xml:space="preserve">                        Страница | </w:t>
    </w:r>
    <w:r w:rsidRPr="00D95234">
      <w:rPr>
        <w:sz w:val="16"/>
        <w:szCs w:val="16"/>
      </w:rPr>
      <w:fldChar w:fldCharType="begin"/>
    </w:r>
    <w:r w:rsidRPr="00D95234">
      <w:rPr>
        <w:sz w:val="16"/>
        <w:szCs w:val="16"/>
      </w:rPr>
      <w:instrText>PAGE   \* MERGEFORMAT</w:instrText>
    </w:r>
    <w:r w:rsidRPr="00D95234">
      <w:rPr>
        <w:sz w:val="16"/>
        <w:szCs w:val="16"/>
      </w:rPr>
      <w:fldChar w:fldCharType="separate"/>
    </w:r>
    <w:r w:rsidR="00922A9F">
      <w:rPr>
        <w:noProof/>
        <w:sz w:val="16"/>
        <w:szCs w:val="16"/>
      </w:rPr>
      <w:t>3</w:t>
    </w:r>
    <w:r w:rsidRPr="00D952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42" w:rsidRDefault="00463F42">
      <w:r>
        <w:separator/>
      </w:r>
    </w:p>
  </w:footnote>
  <w:footnote w:type="continuationSeparator" w:id="0">
    <w:p w:rsidR="00463F42" w:rsidRDefault="0046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02"/>
      <w:gridCol w:w="11052"/>
    </w:tblGrid>
    <w:tr w:rsidR="00A0761E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761E" w:rsidRDefault="008D75A5" w:rsidP="00A0761E">
          <w:r>
            <w:rPr>
              <w:noProof/>
            </w:rPr>
            <w:drawing>
              <wp:inline distT="0" distB="0" distL="0" distR="0" wp14:anchorId="60E52186" wp14:editId="5143EE84">
                <wp:extent cx="819150" cy="619125"/>
                <wp:effectExtent l="0" t="0" r="0" b="9525"/>
                <wp:docPr id="7" name="Рисунок 7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761E" w:rsidRPr="00AB67E8" w:rsidRDefault="00A0761E" w:rsidP="00A0761E">
          <w:pPr>
            <w:jc w:val="center"/>
            <w:rPr>
              <w:sz w:val="12"/>
              <w:szCs w:val="12"/>
            </w:rPr>
          </w:pPr>
          <w:proofErr w:type="gramStart"/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 ИКБ "</w:t>
          </w:r>
          <w:proofErr w:type="spellStart"/>
          <w:r w:rsidRPr="00AB67E8">
            <w:rPr>
              <w:b/>
              <w:bCs/>
              <w:i/>
              <w:iCs/>
              <w:sz w:val="12"/>
              <w:szCs w:val="12"/>
            </w:rPr>
            <w:t>Совкомбанк</w:t>
          </w:r>
          <w:proofErr w:type="spellEnd"/>
          <w:r w:rsidRPr="00AB67E8">
            <w:rPr>
              <w:b/>
              <w:bCs/>
              <w:i/>
              <w:iCs/>
              <w:sz w:val="12"/>
              <w:szCs w:val="12"/>
            </w:rPr>
            <w:t>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  <w:proofErr w:type="gramEnd"/>
        </w:p>
      </w:tc>
    </w:tr>
  </w:tbl>
  <w:p w:rsidR="00A0761E" w:rsidRDefault="00463F42" w:rsidP="00A0761E">
    <w:r>
      <w:pict>
        <v:rect id="_x0000_i1025" style="width:0;height:1.5pt" o:hralign="center" o:hrstd="t" o:hr="t" fillcolor="#aca899" stroked="f"/>
      </w:pict>
    </w:r>
  </w:p>
  <w:p w:rsidR="00A0761E" w:rsidRPr="00F17693" w:rsidRDefault="00A0761E" w:rsidP="00A0761E">
    <w:pPr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02"/>
      <w:gridCol w:w="11052"/>
    </w:tblGrid>
    <w:tr w:rsidR="00A02B13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Default="008D75A5" w:rsidP="00A0761E">
          <w:r>
            <w:rPr>
              <w:noProof/>
            </w:rPr>
            <w:drawing>
              <wp:inline distT="0" distB="0" distL="0" distR="0" wp14:anchorId="362219D1" wp14:editId="554534ED">
                <wp:extent cx="819150" cy="619125"/>
                <wp:effectExtent l="0" t="0" r="0" b="9525"/>
                <wp:docPr id="8" name="Рисунок 8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Pr="00AB67E8" w:rsidRDefault="00A02B13" w:rsidP="00A0761E">
          <w:pPr>
            <w:jc w:val="center"/>
            <w:rPr>
              <w:sz w:val="12"/>
              <w:szCs w:val="12"/>
            </w:rPr>
          </w:pPr>
          <w:proofErr w:type="gramStart"/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 ИКБ "</w:t>
          </w:r>
          <w:proofErr w:type="spellStart"/>
          <w:r w:rsidRPr="00AB67E8">
            <w:rPr>
              <w:b/>
              <w:bCs/>
              <w:i/>
              <w:iCs/>
              <w:sz w:val="12"/>
              <w:szCs w:val="12"/>
            </w:rPr>
            <w:t>Совкомбанк</w:t>
          </w:r>
          <w:proofErr w:type="spellEnd"/>
          <w:r w:rsidRPr="00AB67E8">
            <w:rPr>
              <w:b/>
              <w:bCs/>
              <w:i/>
              <w:iCs/>
              <w:sz w:val="12"/>
              <w:szCs w:val="12"/>
            </w:rPr>
            <w:t>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  <w:proofErr w:type="gramEnd"/>
        </w:p>
      </w:tc>
    </w:tr>
  </w:tbl>
  <w:p w:rsidR="00A02B13" w:rsidRDefault="00463F42" w:rsidP="00A02B13">
    <w:r>
      <w:pict>
        <v:rect id="_x0000_i1026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A90"/>
    <w:multiLevelType w:val="hybridMultilevel"/>
    <w:tmpl w:val="72FA6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38A84218"/>
    <w:multiLevelType w:val="hybridMultilevel"/>
    <w:tmpl w:val="BF5CC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E6A5E"/>
    <w:multiLevelType w:val="multilevel"/>
    <w:tmpl w:val="0ACA227C"/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6B992A0D"/>
    <w:multiLevelType w:val="hybridMultilevel"/>
    <w:tmpl w:val="FD623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13"/>
    <w:rsid w:val="000526DD"/>
    <w:rsid w:val="0006368D"/>
    <w:rsid w:val="000714CB"/>
    <w:rsid w:val="000865CB"/>
    <w:rsid w:val="000B52F1"/>
    <w:rsid w:val="000D5876"/>
    <w:rsid w:val="000F7C06"/>
    <w:rsid w:val="00197A8B"/>
    <w:rsid w:val="001D4C17"/>
    <w:rsid w:val="001F2F6C"/>
    <w:rsid w:val="00334AC7"/>
    <w:rsid w:val="003A5CF5"/>
    <w:rsid w:val="00463F42"/>
    <w:rsid w:val="00475F49"/>
    <w:rsid w:val="00491B7C"/>
    <w:rsid w:val="004A0B7E"/>
    <w:rsid w:val="004D0E29"/>
    <w:rsid w:val="00504DFF"/>
    <w:rsid w:val="00577012"/>
    <w:rsid w:val="005B1B4E"/>
    <w:rsid w:val="005C2BAD"/>
    <w:rsid w:val="005C64AD"/>
    <w:rsid w:val="00605B90"/>
    <w:rsid w:val="0065747B"/>
    <w:rsid w:val="006D7913"/>
    <w:rsid w:val="006F5B6E"/>
    <w:rsid w:val="00734E58"/>
    <w:rsid w:val="007643B8"/>
    <w:rsid w:val="007A0613"/>
    <w:rsid w:val="007E163C"/>
    <w:rsid w:val="00840AD1"/>
    <w:rsid w:val="008457BF"/>
    <w:rsid w:val="00884486"/>
    <w:rsid w:val="008D3993"/>
    <w:rsid w:val="008D75A5"/>
    <w:rsid w:val="0090487F"/>
    <w:rsid w:val="0091625C"/>
    <w:rsid w:val="00916A57"/>
    <w:rsid w:val="00922A9F"/>
    <w:rsid w:val="00963256"/>
    <w:rsid w:val="009D4DCA"/>
    <w:rsid w:val="00A02B13"/>
    <w:rsid w:val="00A0761E"/>
    <w:rsid w:val="00A120BB"/>
    <w:rsid w:val="00A34C01"/>
    <w:rsid w:val="00A40DA8"/>
    <w:rsid w:val="00A70394"/>
    <w:rsid w:val="00AD7F34"/>
    <w:rsid w:val="00AE4532"/>
    <w:rsid w:val="00AF43A4"/>
    <w:rsid w:val="00AF5324"/>
    <w:rsid w:val="00B076B8"/>
    <w:rsid w:val="00B44BF4"/>
    <w:rsid w:val="00B94525"/>
    <w:rsid w:val="00BA2D10"/>
    <w:rsid w:val="00BC5EA7"/>
    <w:rsid w:val="00BF76D0"/>
    <w:rsid w:val="00C24C2F"/>
    <w:rsid w:val="00C5686F"/>
    <w:rsid w:val="00CC468F"/>
    <w:rsid w:val="00D279BB"/>
    <w:rsid w:val="00D95234"/>
    <w:rsid w:val="00DA226B"/>
    <w:rsid w:val="00DA275F"/>
    <w:rsid w:val="00DE1FFD"/>
    <w:rsid w:val="00E03750"/>
    <w:rsid w:val="00E532A8"/>
    <w:rsid w:val="00E61592"/>
    <w:rsid w:val="00E953A9"/>
    <w:rsid w:val="00EC1B85"/>
    <w:rsid w:val="00ED5CDB"/>
    <w:rsid w:val="00F17B5D"/>
    <w:rsid w:val="00F8370C"/>
    <w:rsid w:val="00FA5FC8"/>
    <w:rsid w:val="00FC13B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rsid w:val="00A02B1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AF53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532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734E58"/>
    <w:rPr>
      <w:lang w:val="x-none" w:eastAsia="x-none"/>
    </w:rPr>
  </w:style>
  <w:style w:type="character" w:customStyle="1" w:styleId="ab">
    <w:name w:val="Текст сноски Знак"/>
    <w:basedOn w:val="a0"/>
    <w:link w:val="aa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rsid w:val="00A02B1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AF53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532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734E58"/>
    <w:rPr>
      <w:lang w:val="x-none" w:eastAsia="x-none"/>
    </w:rPr>
  </w:style>
  <w:style w:type="character" w:customStyle="1" w:styleId="ab">
    <w:name w:val="Текст сноски Знак"/>
    <w:basedOn w:val="a0"/>
    <w:link w:val="aa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8045-6737-4845-BA5D-25875B43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71</vt:lpstr>
    </vt:vector>
  </TitlesOfParts>
  <Company/>
  <LinksUpToDate>false</LinksUpToDate>
  <CharactersWithSpaces>9050</CharactersWithSpaces>
  <SharedDoc>false</SharedDoc>
  <HLinks>
    <vt:vector size="12" baseType="variant">
      <vt:variant>
        <vt:i4>69206096</vt:i4>
      </vt:variant>
      <vt:variant>
        <vt:i4>24830</vt:i4>
      </vt:variant>
      <vt:variant>
        <vt:i4>1026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  <vt:variant>
        <vt:i4>69206096</vt:i4>
      </vt:variant>
      <vt:variant>
        <vt:i4>25628</vt:i4>
      </vt:variant>
      <vt:variant>
        <vt:i4>1028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71</dc:title>
  <dc:subject/>
  <dc:creator>VasilenkoOV</dc:creator>
  <cp:keywords/>
  <dc:description/>
  <cp:lastModifiedBy>Новиков Виктор Владимирович</cp:lastModifiedBy>
  <cp:revision>5</cp:revision>
  <cp:lastPrinted>2013-11-14T11:00:00Z</cp:lastPrinted>
  <dcterms:created xsi:type="dcterms:W3CDTF">2013-11-14T10:56:00Z</dcterms:created>
  <dcterms:modified xsi:type="dcterms:W3CDTF">2013-11-14T15:25:00Z</dcterms:modified>
</cp:coreProperties>
</file>