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2664" w14:textId="163D1482" w:rsidR="002F0C8A" w:rsidRPr="00335816" w:rsidRDefault="002F0C8A" w:rsidP="002F0C8A">
      <w:pPr>
        <w:rPr>
          <w:rFonts w:ascii="Times New Roman" w:hAnsi="Times New Roman" w:cs="Times New Roman"/>
          <w:b/>
          <w:sz w:val="24"/>
          <w:szCs w:val="24"/>
        </w:rPr>
      </w:pPr>
      <w:r w:rsidRPr="00335816">
        <w:rPr>
          <w:rFonts w:ascii="Times New Roman" w:hAnsi="Times New Roman" w:cs="Times New Roman"/>
          <w:b/>
          <w:sz w:val="24"/>
          <w:szCs w:val="24"/>
        </w:rPr>
        <w:t>Условия осуществления депозитарной деятельности ПАО «Совкомбанк» (далее - Условия)</w:t>
      </w:r>
    </w:p>
    <w:p w14:paraId="22C5B853" w14:textId="460B474A" w:rsidR="002F0C8A" w:rsidRPr="00335816" w:rsidRDefault="002F0C8A" w:rsidP="002F0C8A">
      <w:pPr>
        <w:jc w:val="both"/>
        <w:rPr>
          <w:rFonts w:ascii="Times New Roman" w:hAnsi="Times New Roman" w:cs="Times New Roman"/>
          <w:b/>
          <w:sz w:val="24"/>
          <w:szCs w:val="24"/>
        </w:rPr>
      </w:pPr>
      <w:r w:rsidRPr="00335816">
        <w:rPr>
          <w:rFonts w:ascii="Times New Roman" w:hAnsi="Times New Roman" w:cs="Times New Roman"/>
          <w:b/>
          <w:sz w:val="24"/>
          <w:szCs w:val="24"/>
        </w:rPr>
        <w:t xml:space="preserve">Перечень изменений в редакции, утвержденной </w:t>
      </w:r>
      <w:r w:rsidR="008E67F9">
        <w:rPr>
          <w:rFonts w:ascii="Times New Roman" w:hAnsi="Times New Roman" w:cs="Times New Roman"/>
          <w:b/>
          <w:sz w:val="24"/>
          <w:szCs w:val="24"/>
        </w:rPr>
        <w:t>03</w:t>
      </w:r>
      <w:r>
        <w:rPr>
          <w:rFonts w:ascii="Times New Roman" w:hAnsi="Times New Roman" w:cs="Times New Roman"/>
          <w:b/>
          <w:sz w:val="24"/>
          <w:szCs w:val="24"/>
        </w:rPr>
        <w:t>.</w:t>
      </w:r>
      <w:r w:rsidR="008E67F9">
        <w:rPr>
          <w:rFonts w:ascii="Times New Roman" w:hAnsi="Times New Roman" w:cs="Times New Roman"/>
          <w:b/>
          <w:sz w:val="24"/>
          <w:szCs w:val="24"/>
        </w:rPr>
        <w:t>06</w:t>
      </w:r>
      <w:r>
        <w:rPr>
          <w:rFonts w:ascii="Times New Roman" w:hAnsi="Times New Roman" w:cs="Times New Roman"/>
          <w:b/>
          <w:sz w:val="24"/>
          <w:szCs w:val="24"/>
        </w:rPr>
        <w:t>.202</w:t>
      </w:r>
      <w:r w:rsidR="008E67F9">
        <w:rPr>
          <w:rFonts w:ascii="Times New Roman" w:hAnsi="Times New Roman" w:cs="Times New Roman"/>
          <w:b/>
          <w:sz w:val="24"/>
          <w:szCs w:val="24"/>
        </w:rPr>
        <w:t>6</w:t>
      </w:r>
      <w:r w:rsidRPr="00335816">
        <w:rPr>
          <w:rFonts w:ascii="Times New Roman" w:hAnsi="Times New Roman" w:cs="Times New Roman"/>
          <w:b/>
          <w:sz w:val="24"/>
          <w:szCs w:val="24"/>
        </w:rPr>
        <w:t>:</w:t>
      </w:r>
    </w:p>
    <w:p w14:paraId="3D86ADE7" w14:textId="77777777" w:rsidR="002F0C8A" w:rsidRDefault="002F0C8A"/>
    <w:tbl>
      <w:tblPr>
        <w:tblStyle w:val="a3"/>
        <w:tblW w:w="14879" w:type="dxa"/>
        <w:tblLook w:val="04A0" w:firstRow="1" w:lastRow="0" w:firstColumn="1" w:lastColumn="0" w:noHBand="0" w:noVBand="1"/>
      </w:tblPr>
      <w:tblGrid>
        <w:gridCol w:w="1701"/>
        <w:gridCol w:w="6589"/>
        <w:gridCol w:w="6589"/>
      </w:tblGrid>
      <w:tr w:rsidR="002F0C8A" w14:paraId="3D309648" w14:textId="77777777" w:rsidTr="002F0C8A">
        <w:tc>
          <w:tcPr>
            <w:tcW w:w="1701" w:type="dxa"/>
          </w:tcPr>
          <w:p w14:paraId="5A12D621" w14:textId="02C300A9" w:rsidR="002F0C8A" w:rsidRPr="006335DC" w:rsidRDefault="002F0C8A" w:rsidP="002F0C8A">
            <w:pPr>
              <w:jc w:val="center"/>
              <w:rPr>
                <w:b/>
              </w:rPr>
            </w:pPr>
            <w:r w:rsidRPr="002B7433">
              <w:rPr>
                <w:rFonts w:ascii="Times New Roman" w:hAnsi="Times New Roman" w:cs="Times New Roman"/>
                <w:b/>
                <w:sz w:val="20"/>
                <w:szCs w:val="20"/>
              </w:rPr>
              <w:t>Пункт Условий</w:t>
            </w:r>
          </w:p>
        </w:tc>
        <w:tc>
          <w:tcPr>
            <w:tcW w:w="6589" w:type="dxa"/>
          </w:tcPr>
          <w:p w14:paraId="1FAD8C9A" w14:textId="3F5F264A" w:rsidR="002F0C8A" w:rsidRPr="006335DC" w:rsidRDefault="002F0C8A" w:rsidP="002F0C8A">
            <w:pPr>
              <w:jc w:val="center"/>
              <w:rPr>
                <w:b/>
              </w:rPr>
            </w:pPr>
            <w:r w:rsidRPr="002B7433">
              <w:rPr>
                <w:rFonts w:ascii="Times New Roman" w:hAnsi="Times New Roman" w:cs="Times New Roman"/>
                <w:b/>
              </w:rPr>
              <w:t>Прежняя редакция</w:t>
            </w:r>
          </w:p>
        </w:tc>
        <w:tc>
          <w:tcPr>
            <w:tcW w:w="6589" w:type="dxa"/>
          </w:tcPr>
          <w:p w14:paraId="5FF7B6E7" w14:textId="5ADEB525" w:rsidR="002F0C8A" w:rsidRPr="006335DC" w:rsidRDefault="002F0C8A" w:rsidP="002F0C8A">
            <w:pPr>
              <w:jc w:val="center"/>
              <w:rPr>
                <w:b/>
              </w:rPr>
            </w:pPr>
            <w:r w:rsidRPr="002B7433">
              <w:rPr>
                <w:rFonts w:ascii="Times New Roman" w:hAnsi="Times New Roman" w:cs="Times New Roman"/>
                <w:b/>
              </w:rPr>
              <w:t>Новая редакция</w:t>
            </w:r>
          </w:p>
        </w:tc>
      </w:tr>
      <w:tr w:rsidR="006077E4" w14:paraId="5B51F3AD" w14:textId="77777777" w:rsidTr="00DD3EC7">
        <w:tc>
          <w:tcPr>
            <w:tcW w:w="1701" w:type="dxa"/>
          </w:tcPr>
          <w:p w14:paraId="38A9AF37" w14:textId="366101B3" w:rsidR="006077E4" w:rsidRPr="00A41039" w:rsidRDefault="006077E4" w:rsidP="00DD3EC7">
            <w:pPr>
              <w:rPr>
                <w:rFonts w:ascii="Times New Roman" w:hAnsi="Times New Roman" w:cs="Times New Roman"/>
                <w:sz w:val="24"/>
                <w:szCs w:val="24"/>
              </w:rPr>
            </w:pPr>
            <w:r w:rsidRPr="00A41039">
              <w:rPr>
                <w:rFonts w:ascii="Times New Roman" w:hAnsi="Times New Roman" w:cs="Times New Roman"/>
                <w:sz w:val="24"/>
                <w:szCs w:val="24"/>
              </w:rPr>
              <w:t>1.</w:t>
            </w:r>
            <w:r>
              <w:rPr>
                <w:rFonts w:ascii="Times New Roman" w:hAnsi="Times New Roman" w:cs="Times New Roman"/>
                <w:sz w:val="24"/>
                <w:szCs w:val="24"/>
              </w:rPr>
              <w:t>16</w:t>
            </w:r>
            <w:r w:rsidRPr="00A41039">
              <w:rPr>
                <w:rFonts w:ascii="Times New Roman" w:hAnsi="Times New Roman" w:cs="Times New Roman"/>
                <w:sz w:val="24"/>
                <w:szCs w:val="24"/>
              </w:rPr>
              <w:t>.</w:t>
            </w:r>
          </w:p>
        </w:tc>
        <w:tc>
          <w:tcPr>
            <w:tcW w:w="6589" w:type="dxa"/>
          </w:tcPr>
          <w:p w14:paraId="60B39F21" w14:textId="77777777" w:rsidR="006077E4" w:rsidRDefault="006077E4" w:rsidP="00DD3EC7">
            <w:pPr>
              <w:tabs>
                <w:tab w:val="left" w:pos="540"/>
              </w:tabs>
              <w:jc w:val="both"/>
              <w:rPr>
                <w:rFonts w:ascii="Times New Roman" w:hAnsi="Times New Roman" w:cs="Times New Roman"/>
                <w:sz w:val="24"/>
                <w:szCs w:val="24"/>
              </w:rPr>
            </w:pPr>
            <w:r>
              <w:t xml:space="preserve">             </w:t>
            </w:r>
            <w:r w:rsidRPr="006077E4">
              <w:rPr>
                <w:rFonts w:ascii="Times New Roman" w:hAnsi="Times New Roman" w:cs="Times New Roman"/>
                <w:sz w:val="24"/>
                <w:szCs w:val="24"/>
              </w:rPr>
              <w:t xml:space="preserve">Депонент-юридическое лицо вправе присоединиться к Условиям путем направления по Системе «Банк-Клиент» Заявления на депозитарное обслуживание (для юридических лиц) (Приложение №01), Заявления на депозитарное обслуживание (для юридических лиц) без брокерского обслуживания (Приложение № 55) а также всех необходимых документов, указанных в п. 18.2.6, в том числе заполненной Анкеты (Приложение №05). </w:t>
            </w:r>
          </w:p>
          <w:p w14:paraId="65ECA022" w14:textId="77777777" w:rsidR="006077E4" w:rsidRPr="006077E4" w:rsidRDefault="006077E4" w:rsidP="00DD3EC7">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          </w:t>
            </w:r>
            <w:r w:rsidRPr="006077E4">
              <w:rPr>
                <w:rFonts w:ascii="Times New Roman" w:hAnsi="Times New Roman" w:cs="Times New Roman"/>
                <w:sz w:val="24"/>
                <w:szCs w:val="24"/>
              </w:rPr>
              <w:t>Порядок направления Депонентом-юридическим лицом указанных документов  в Банк, и иные условия электронного документооборота между Банком и Депонентом определяются Правилами электронного документооборота и дистанционного банковского обслуживания клиентов-юридических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«Совкомбанк», в соответствии с Регламентом предоставления услуг Удостоверяющего центра ПАО «Совкомбанк» в системе дистанционного банковского обслуживания «Банк-Клиент». Последующее предоставление оригиналов документов, направленных Депонентом-юридическим лицом в Банк по Системе «Банк-Клиент», на бумажном носителе не требуется</w:t>
            </w:r>
            <w:r>
              <w:rPr>
                <w:rFonts w:ascii="Times New Roman" w:hAnsi="Times New Roman" w:cs="Times New Roman"/>
                <w:sz w:val="24"/>
                <w:szCs w:val="24"/>
              </w:rPr>
              <w:t>.</w:t>
            </w:r>
          </w:p>
          <w:p w14:paraId="41C82ED0" w14:textId="77777777" w:rsidR="006077E4" w:rsidRPr="00A41039" w:rsidRDefault="006077E4" w:rsidP="00DD3EC7">
            <w:pPr>
              <w:rPr>
                <w:rFonts w:ascii="Times New Roman" w:hAnsi="Times New Roman" w:cs="Times New Roman"/>
                <w:sz w:val="24"/>
                <w:szCs w:val="24"/>
              </w:rPr>
            </w:pPr>
          </w:p>
        </w:tc>
        <w:tc>
          <w:tcPr>
            <w:tcW w:w="6589" w:type="dxa"/>
          </w:tcPr>
          <w:p w14:paraId="4DA97523" w14:textId="77777777" w:rsidR="006077E4" w:rsidRDefault="006077E4" w:rsidP="006077E4">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            </w:t>
            </w:r>
            <w:r w:rsidRPr="006077E4">
              <w:rPr>
                <w:rFonts w:ascii="Times New Roman" w:hAnsi="Times New Roman" w:cs="Times New Roman"/>
                <w:sz w:val="24"/>
                <w:szCs w:val="24"/>
              </w:rPr>
              <w:t>Депонент-юридическое лицо вправе присоединиться к Условиям путем направления по Системе «Банк-Клиент»/через личный кабинет Депонента в Системе ДБО Заявления на депозитарное обслуживание (для юридических лиц) (Приложение №01), Заявления на депозитарное обслуживание (для юридических лиц) без брокерского обслуживания (Приложение № 55) а также всех необходимых документов, указанных в п. 18.2.6, в том числе заполненной Анкеты (Приложение №05)</w:t>
            </w:r>
            <w:r>
              <w:rPr>
                <w:rFonts w:ascii="Times New Roman" w:hAnsi="Times New Roman" w:cs="Times New Roman"/>
                <w:sz w:val="24"/>
                <w:szCs w:val="24"/>
              </w:rPr>
              <w:t>.</w:t>
            </w:r>
          </w:p>
          <w:p w14:paraId="06934886" w14:textId="7868EED1" w:rsidR="006077E4" w:rsidRPr="002F0C8A" w:rsidRDefault="006077E4" w:rsidP="006077E4">
            <w:pPr>
              <w:tabs>
                <w:tab w:val="left" w:pos="540"/>
              </w:tabs>
              <w:jc w:val="both"/>
              <w:rPr>
                <w:rFonts w:ascii="Times New Roman" w:hAnsi="Times New Roman" w:cs="Times New Roman"/>
                <w:sz w:val="20"/>
                <w:szCs w:val="20"/>
              </w:rPr>
            </w:pPr>
            <w:r>
              <w:rPr>
                <w:rFonts w:ascii="Times New Roman" w:hAnsi="Times New Roman" w:cs="Times New Roman"/>
                <w:sz w:val="24"/>
                <w:szCs w:val="24"/>
              </w:rPr>
              <w:t xml:space="preserve">            </w:t>
            </w:r>
            <w:r w:rsidRPr="006077E4">
              <w:rPr>
                <w:rFonts w:ascii="Times New Roman" w:hAnsi="Times New Roman" w:cs="Times New Roman"/>
                <w:sz w:val="24"/>
                <w:szCs w:val="24"/>
              </w:rPr>
              <w:t>Последующее предоставление оригиналов документов, направленных Депонентом-юридическим лицом в Банк по Системе «Банк-Клиент»/через личный кабинет Депонента в Системе ДБО, на бумажном носителе не требуется, если иное не установлено Банком</w:t>
            </w:r>
            <w:r>
              <w:rPr>
                <w:rFonts w:ascii="Times New Roman" w:hAnsi="Times New Roman" w:cs="Times New Roman"/>
                <w:sz w:val="24"/>
                <w:szCs w:val="24"/>
              </w:rPr>
              <w:t>.</w:t>
            </w:r>
          </w:p>
        </w:tc>
      </w:tr>
      <w:tr w:rsidR="00280344" w14:paraId="63328387" w14:textId="77777777" w:rsidTr="00DD3EC7">
        <w:tc>
          <w:tcPr>
            <w:tcW w:w="1701" w:type="dxa"/>
          </w:tcPr>
          <w:p w14:paraId="039933BB" w14:textId="2AB6A639" w:rsidR="00280344" w:rsidRPr="00A41039" w:rsidRDefault="00280344" w:rsidP="00DD3EC7">
            <w:pPr>
              <w:rPr>
                <w:rFonts w:ascii="Times New Roman" w:hAnsi="Times New Roman" w:cs="Times New Roman"/>
                <w:sz w:val="24"/>
                <w:szCs w:val="24"/>
              </w:rPr>
            </w:pPr>
            <w:r w:rsidRPr="00A41039">
              <w:rPr>
                <w:rFonts w:ascii="Times New Roman" w:hAnsi="Times New Roman" w:cs="Times New Roman"/>
                <w:sz w:val="24"/>
                <w:szCs w:val="24"/>
              </w:rPr>
              <w:t>1.</w:t>
            </w:r>
            <w:r>
              <w:rPr>
                <w:rFonts w:ascii="Times New Roman" w:hAnsi="Times New Roman" w:cs="Times New Roman"/>
                <w:sz w:val="24"/>
                <w:szCs w:val="24"/>
              </w:rPr>
              <w:t>39</w:t>
            </w:r>
            <w:r w:rsidRPr="00A41039">
              <w:rPr>
                <w:rFonts w:ascii="Times New Roman" w:hAnsi="Times New Roman" w:cs="Times New Roman"/>
                <w:sz w:val="24"/>
                <w:szCs w:val="24"/>
              </w:rPr>
              <w:t>.</w:t>
            </w:r>
          </w:p>
        </w:tc>
        <w:tc>
          <w:tcPr>
            <w:tcW w:w="6589" w:type="dxa"/>
          </w:tcPr>
          <w:p w14:paraId="5E5A39A1" w14:textId="5E73D357" w:rsidR="00280344" w:rsidRPr="00280344" w:rsidRDefault="00280344" w:rsidP="00280344">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            </w:t>
            </w:r>
            <w:r w:rsidRPr="00280344">
              <w:rPr>
                <w:rFonts w:ascii="Times New Roman" w:hAnsi="Times New Roman" w:cs="Times New Roman"/>
                <w:sz w:val="24"/>
                <w:szCs w:val="24"/>
              </w:rPr>
              <w:t xml:space="preserve">В соответствии с Федеральным законом от 27.07.2006 г. № 152-ФЗ «О персональных данных», Депонент, присоединяясь к Условиям, дает согласие на обработку </w:t>
            </w:r>
            <w:r w:rsidRPr="00280344">
              <w:rPr>
                <w:rFonts w:ascii="Times New Roman" w:hAnsi="Times New Roman" w:cs="Times New Roman"/>
                <w:sz w:val="24"/>
                <w:szCs w:val="24"/>
              </w:rPr>
              <w:lastRenderedPageBreak/>
              <w:t xml:space="preserve">Банком всех персональных данных Депонента, предоставляемых им в рамках настоящих Условий, а также на все перечисленные действия, объем запрашиваемой информации, сроки, цели, указанные в Приложении № 37 к Условиям. </w:t>
            </w:r>
            <w:r w:rsidRPr="00280344">
              <w:rPr>
                <w:rFonts w:ascii="Times New Roman" w:hAnsi="Times New Roman" w:cs="Times New Roman"/>
                <w:sz w:val="24"/>
                <w:szCs w:val="24"/>
              </w:rPr>
              <w:tab/>
            </w:r>
            <w:r w:rsidRPr="00280344">
              <w:rPr>
                <w:rFonts w:ascii="Times New Roman" w:hAnsi="Times New Roman" w:cs="Times New Roman"/>
                <w:sz w:val="24"/>
                <w:szCs w:val="24"/>
              </w:rPr>
              <w:tab/>
            </w:r>
            <w:r w:rsidRPr="00280344">
              <w:rPr>
                <w:rFonts w:ascii="Times New Roman" w:hAnsi="Times New Roman" w:cs="Times New Roman"/>
                <w:sz w:val="24"/>
                <w:szCs w:val="24"/>
              </w:rPr>
              <w:tab/>
            </w:r>
            <w:r w:rsidRPr="00280344">
              <w:rPr>
                <w:rFonts w:ascii="Times New Roman" w:hAnsi="Times New Roman" w:cs="Times New Roman"/>
                <w:sz w:val="24"/>
                <w:szCs w:val="24"/>
              </w:rPr>
              <w:tab/>
            </w:r>
            <w:r w:rsidRPr="00280344">
              <w:rPr>
                <w:rFonts w:ascii="Times New Roman" w:hAnsi="Times New Roman" w:cs="Times New Roman"/>
                <w:sz w:val="24"/>
                <w:szCs w:val="24"/>
              </w:rPr>
              <w:tab/>
            </w:r>
            <w:r w:rsidRPr="00280344">
              <w:rPr>
                <w:rFonts w:ascii="Times New Roman" w:hAnsi="Times New Roman" w:cs="Times New Roman"/>
                <w:sz w:val="24"/>
                <w:szCs w:val="24"/>
              </w:rPr>
              <w:tab/>
            </w:r>
            <w:r w:rsidRPr="00280344">
              <w:rPr>
                <w:rFonts w:ascii="Times New Roman" w:hAnsi="Times New Roman" w:cs="Times New Roman"/>
                <w:sz w:val="24"/>
                <w:szCs w:val="24"/>
              </w:rPr>
              <w:tab/>
            </w:r>
            <w:r w:rsidRPr="00280344">
              <w:rPr>
                <w:rFonts w:ascii="Times New Roman" w:hAnsi="Times New Roman" w:cs="Times New Roman"/>
                <w:sz w:val="24"/>
                <w:szCs w:val="24"/>
              </w:rPr>
              <w:tab/>
            </w:r>
            <w:r w:rsidRPr="00280344">
              <w:rPr>
                <w:rFonts w:ascii="Times New Roman" w:hAnsi="Times New Roman" w:cs="Times New Roman"/>
                <w:sz w:val="24"/>
                <w:szCs w:val="24"/>
              </w:rPr>
              <w:tab/>
              <w:t>Депонент – юридическое лицо подтверждает, что им получено письменное согласие субъектов персональных данных, чьи персональные данные содержаться в представленных Депоне</w:t>
            </w:r>
            <w:r>
              <w:rPr>
                <w:rFonts w:ascii="Times New Roman" w:hAnsi="Times New Roman" w:cs="Times New Roman"/>
                <w:sz w:val="24"/>
                <w:szCs w:val="24"/>
              </w:rPr>
              <w:t>н</w:t>
            </w:r>
            <w:r w:rsidRPr="00280344">
              <w:rPr>
                <w:rFonts w:ascii="Times New Roman" w:hAnsi="Times New Roman" w:cs="Times New Roman"/>
                <w:sz w:val="24"/>
                <w:szCs w:val="24"/>
              </w:rPr>
              <w:t>том в Банк документах, на обработку Банком этих персональных данных по поручению Банка в указанных выше целях, а также гарантирует правомерность передачи их персональных данных Банку. Депонент несет все неблагоприятные последствия, связанные с неполучением Депонентом таких согласий.</w:t>
            </w:r>
          </w:p>
          <w:p w14:paraId="1655BA74" w14:textId="77777777" w:rsidR="00280344" w:rsidRPr="00A41039" w:rsidRDefault="00280344" w:rsidP="00280344">
            <w:pPr>
              <w:tabs>
                <w:tab w:val="left" w:pos="540"/>
              </w:tabs>
              <w:jc w:val="both"/>
              <w:rPr>
                <w:rFonts w:ascii="Times New Roman" w:hAnsi="Times New Roman" w:cs="Times New Roman"/>
                <w:sz w:val="24"/>
                <w:szCs w:val="24"/>
              </w:rPr>
            </w:pPr>
          </w:p>
        </w:tc>
        <w:tc>
          <w:tcPr>
            <w:tcW w:w="6589" w:type="dxa"/>
          </w:tcPr>
          <w:p w14:paraId="7C21F9C1" w14:textId="00C198AD" w:rsidR="008F4158" w:rsidRPr="008F4158" w:rsidRDefault="008F4158" w:rsidP="008F4158">
            <w:pPr>
              <w:tabs>
                <w:tab w:val="left" w:pos="54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F4158">
              <w:rPr>
                <w:rFonts w:ascii="Times New Roman" w:hAnsi="Times New Roman" w:cs="Times New Roman"/>
                <w:sz w:val="24"/>
                <w:szCs w:val="24"/>
              </w:rPr>
              <w:t xml:space="preserve">Банк обрабатывает персональные данные для целей заключения Договора с Депонентами, осуществления прав и исполнения обязанностей в соответствии с заключенным/ми с </w:t>
            </w:r>
            <w:r>
              <w:rPr>
                <w:rFonts w:ascii="Times New Roman" w:hAnsi="Times New Roman" w:cs="Times New Roman"/>
                <w:sz w:val="24"/>
                <w:szCs w:val="24"/>
              </w:rPr>
              <w:t xml:space="preserve">          </w:t>
            </w:r>
            <w:r w:rsidRPr="008F4158">
              <w:rPr>
                <w:rFonts w:ascii="Times New Roman" w:hAnsi="Times New Roman" w:cs="Times New Roman"/>
                <w:sz w:val="24"/>
                <w:szCs w:val="24"/>
              </w:rPr>
              <w:lastRenderedPageBreak/>
              <w:t>Депонентами договором/ами, а также исполнения требований российского законодательства (в частности, Федерального закона от 07.08.2001 № 115-ФЗ «О противодействии легализации (отмыванию) доходов, полученных преступным путем, и финансированию терроризма»), и применимого иностранного законодательства (например, нормативного правового акта США о порядке налогообложения доходов по иностранным счетам, Foreign Account Tax Compliance Act (FATCA)).</w:t>
            </w:r>
          </w:p>
          <w:p w14:paraId="3E7750AF" w14:textId="77777777" w:rsidR="008F4158" w:rsidRPr="008F4158" w:rsidRDefault="008F4158" w:rsidP="008F4158">
            <w:pPr>
              <w:tabs>
                <w:tab w:val="left" w:pos="540"/>
              </w:tabs>
              <w:jc w:val="both"/>
              <w:rPr>
                <w:rFonts w:ascii="Times New Roman" w:hAnsi="Times New Roman" w:cs="Times New Roman"/>
                <w:sz w:val="24"/>
                <w:szCs w:val="24"/>
              </w:rPr>
            </w:pPr>
            <w:r w:rsidRPr="008F4158">
              <w:rPr>
                <w:rFonts w:ascii="Times New Roman" w:hAnsi="Times New Roman" w:cs="Times New Roman"/>
                <w:sz w:val="24"/>
                <w:szCs w:val="24"/>
              </w:rPr>
              <w:tab/>
              <w:t>Депонент-физическое лицо в соответствии с требованиями Федерального закона от 27.07.2006 г. № 152-ФЗ «О персональных данных» при заключении Договора оформляет Согласие на обработку персональных данных в виде отдельного документа, по форме Приложения № 37 к Условиям/или по форме Приложения № 59 к Условиям.</w:t>
            </w:r>
          </w:p>
          <w:p w14:paraId="025F0EE3" w14:textId="77777777" w:rsidR="008F4158" w:rsidRPr="008F4158" w:rsidRDefault="008F4158" w:rsidP="008F4158">
            <w:pPr>
              <w:tabs>
                <w:tab w:val="left" w:pos="540"/>
              </w:tabs>
              <w:jc w:val="both"/>
              <w:rPr>
                <w:rFonts w:ascii="Times New Roman" w:hAnsi="Times New Roman" w:cs="Times New Roman"/>
                <w:sz w:val="24"/>
                <w:szCs w:val="24"/>
              </w:rPr>
            </w:pPr>
            <w:r w:rsidRPr="008F4158">
              <w:rPr>
                <w:rFonts w:ascii="Times New Roman" w:hAnsi="Times New Roman" w:cs="Times New Roman"/>
                <w:sz w:val="24"/>
                <w:szCs w:val="24"/>
              </w:rPr>
              <w:tab/>
              <w:t>Банк обрабатывает персональные данные физических лиц, связанных с Депонентом в силу трудовых, гражданско-правовых и иных правоотношений, информацию о которых Банк получает и иным образом обрабатывает для целей, указанных в абзаце первом настоящего п. 1.39 Условий. Такими лицами могут быть (не ограничиваясь) физическое лицо, действующее в качестве единоличного исполнительного органа, бенефициарный владелец, выгодоприобретатель, физическое лицо, наделенное Депонентом правом подписи, представитель, действующий от имени Депонента на основании доверенности (доверенное лицо), любые иные лица, чьи персональные данные указаны в документах и сведениях, представляемых Депонентом для целей, указанных в абзаце первом настоящего п. 1.39 Условий.</w:t>
            </w:r>
          </w:p>
          <w:p w14:paraId="71DEBF4A" w14:textId="1E0AE344" w:rsidR="008F4158" w:rsidRPr="008F4158" w:rsidRDefault="008F4158" w:rsidP="008F4158">
            <w:pPr>
              <w:tabs>
                <w:tab w:val="left" w:pos="540"/>
              </w:tabs>
              <w:jc w:val="both"/>
              <w:rPr>
                <w:rFonts w:ascii="Times New Roman" w:hAnsi="Times New Roman" w:cs="Times New Roman"/>
                <w:sz w:val="24"/>
                <w:szCs w:val="24"/>
              </w:rPr>
            </w:pPr>
            <w:r w:rsidRPr="008F4158">
              <w:rPr>
                <w:rFonts w:ascii="Times New Roman" w:hAnsi="Times New Roman" w:cs="Times New Roman"/>
                <w:sz w:val="24"/>
                <w:szCs w:val="24"/>
              </w:rPr>
              <w:tab/>
              <w:t xml:space="preserve">Депонент – юридическое лицо подтверждает, что им получено письменное согласие физических лиц (далее – «субъект персональных данных»), чьи персональные данные содержатся в представленных Депонентом Банку документах, </w:t>
            </w:r>
            <w:r w:rsidRPr="008F4158">
              <w:rPr>
                <w:rFonts w:ascii="Times New Roman" w:hAnsi="Times New Roman" w:cs="Times New Roman"/>
                <w:sz w:val="24"/>
                <w:szCs w:val="24"/>
              </w:rPr>
              <w:lastRenderedPageBreak/>
              <w:t>на обработку персональных данных таких физических лиц, а также гарантирует правомерность передачи их персональных данных Банку. Депонент обязуется передавать Банку документы, материалы, содержащие персональные данные субъектов персональных данных, только при наличии согласия субъектов персональных данных, чьи персональные данные содержатся в таких документах, материалах. Обязанность по получению согласий субъектов персональных данных возложена на Депонента. Депонент несет все неблагоприятные последствия, связанные с неполучением Депонентом таких согласий. Депонент обязуется предоставить по запросу Банка в срок, указанный в таком запросе, подтверждение получения согласий, указанных в настоящем абзаце, в случае поступления в Банк запросов и/или претензий со стороны физических лиц - субъектов персональных данных, регуляторов, судов и иных заинтересованных лиц</w:t>
            </w:r>
            <w:r>
              <w:rPr>
                <w:rFonts w:ascii="Times New Roman" w:hAnsi="Times New Roman" w:cs="Times New Roman"/>
                <w:sz w:val="24"/>
                <w:szCs w:val="24"/>
              </w:rPr>
              <w:t>.</w:t>
            </w:r>
          </w:p>
          <w:p w14:paraId="095D8135" w14:textId="7C0F0D67" w:rsidR="00280344" w:rsidRPr="002F0C8A" w:rsidRDefault="00280344" w:rsidP="00DD3EC7">
            <w:pPr>
              <w:tabs>
                <w:tab w:val="left" w:pos="540"/>
              </w:tabs>
              <w:jc w:val="both"/>
              <w:rPr>
                <w:rFonts w:ascii="Times New Roman" w:hAnsi="Times New Roman" w:cs="Times New Roman"/>
                <w:sz w:val="20"/>
                <w:szCs w:val="20"/>
              </w:rPr>
            </w:pPr>
          </w:p>
        </w:tc>
      </w:tr>
      <w:tr w:rsidR="00AF5F45" w14:paraId="1CFA4EA1" w14:textId="77777777" w:rsidTr="00DD3EC7">
        <w:tc>
          <w:tcPr>
            <w:tcW w:w="1701" w:type="dxa"/>
          </w:tcPr>
          <w:p w14:paraId="674D8991" w14:textId="1A87E3E1" w:rsidR="00AF5F45" w:rsidRPr="00A41039" w:rsidRDefault="00AF5F45" w:rsidP="00DD3EC7">
            <w:pPr>
              <w:rPr>
                <w:rFonts w:ascii="Times New Roman" w:hAnsi="Times New Roman" w:cs="Times New Roman"/>
                <w:sz w:val="24"/>
                <w:szCs w:val="24"/>
              </w:rPr>
            </w:pPr>
            <w:r>
              <w:rPr>
                <w:rFonts w:ascii="Times New Roman" w:hAnsi="Times New Roman" w:cs="Times New Roman"/>
                <w:sz w:val="24"/>
                <w:szCs w:val="24"/>
              </w:rPr>
              <w:lastRenderedPageBreak/>
              <w:t>Раздел 2</w:t>
            </w:r>
          </w:p>
        </w:tc>
        <w:tc>
          <w:tcPr>
            <w:tcW w:w="6589" w:type="dxa"/>
          </w:tcPr>
          <w:p w14:paraId="07E78829" w14:textId="3811946A" w:rsidR="00813B46" w:rsidRPr="00014420" w:rsidRDefault="00813B46" w:rsidP="00813B46">
            <w:pPr>
              <w:pStyle w:val="af0"/>
              <w:spacing w:before="0"/>
              <w:ind w:firstLine="0"/>
              <w:rPr>
                <w:rFonts w:ascii="Times New Roman" w:hAnsi="Times New Roman"/>
              </w:rPr>
            </w:pPr>
            <w:r>
              <w:rPr>
                <w:b/>
              </w:rPr>
              <w:t xml:space="preserve">   </w:t>
            </w:r>
            <w:r w:rsidRPr="00014420">
              <w:rPr>
                <w:rFonts w:ascii="Times New Roman" w:hAnsi="Times New Roman"/>
                <w:b/>
              </w:rPr>
              <w:t>Договор ДБО</w:t>
            </w:r>
            <w:r w:rsidRPr="00014420">
              <w:rPr>
                <w:rFonts w:ascii="Times New Roman" w:hAnsi="Times New Roman"/>
              </w:rPr>
              <w:t xml:space="preserve"> – Регламент предоставления услуг Удостоверяющего центра ПАО «Совкомбанк» в системе «Банк-Клиент» или Договор комплексного обслуживания юридических лиц, индивидуальных предпринимателей и физических лиц в ПАО «Совкомбанк» или Договор об обслуживании с использованием системы дистанционного банковского обслуживания физических лиц в ПАО «Совкомбанк».</w:t>
            </w:r>
          </w:p>
          <w:p w14:paraId="46E22428" w14:textId="585F4FE1" w:rsidR="00AF5F45" w:rsidRPr="00A41039" w:rsidRDefault="00AF5F45" w:rsidP="00AF5F45">
            <w:pPr>
              <w:tabs>
                <w:tab w:val="left" w:pos="540"/>
              </w:tabs>
              <w:jc w:val="both"/>
              <w:rPr>
                <w:rFonts w:ascii="Times New Roman" w:hAnsi="Times New Roman" w:cs="Times New Roman"/>
                <w:sz w:val="24"/>
                <w:szCs w:val="24"/>
              </w:rPr>
            </w:pPr>
          </w:p>
        </w:tc>
        <w:tc>
          <w:tcPr>
            <w:tcW w:w="6589" w:type="dxa"/>
          </w:tcPr>
          <w:p w14:paraId="3DED247D" w14:textId="77777777" w:rsidR="00AF5F45" w:rsidRDefault="00AF5F45" w:rsidP="00AF5F45">
            <w:pPr>
              <w:pStyle w:val="af0"/>
              <w:spacing w:before="0"/>
              <w:ind w:firstLine="709"/>
              <w:rPr>
                <w:rFonts w:ascii="Times New Roman" w:hAnsi="Times New Roman"/>
              </w:rPr>
            </w:pPr>
            <w:r w:rsidRPr="00014420">
              <w:rPr>
                <w:rFonts w:ascii="Times New Roman" w:hAnsi="Times New Roman"/>
                <w:b/>
              </w:rPr>
              <w:t>Договор ДБО</w:t>
            </w:r>
            <w:r w:rsidRPr="00014420">
              <w:rPr>
                <w:rFonts w:ascii="Times New Roman" w:hAnsi="Times New Roman"/>
              </w:rPr>
              <w:t xml:space="preserve"> – </w:t>
            </w:r>
          </w:p>
          <w:p w14:paraId="4D9DB370" w14:textId="77777777" w:rsidR="00AF5F45" w:rsidRDefault="00AF5F45" w:rsidP="00AF5F45">
            <w:pPr>
              <w:pStyle w:val="af0"/>
              <w:spacing w:before="0"/>
              <w:ind w:firstLine="709"/>
              <w:rPr>
                <w:rFonts w:ascii="Times New Roman" w:hAnsi="Times New Roman"/>
              </w:rPr>
            </w:pPr>
            <w:r>
              <w:rPr>
                <w:rFonts w:ascii="Times New Roman" w:hAnsi="Times New Roman"/>
              </w:rPr>
              <w:t xml:space="preserve">(а) </w:t>
            </w:r>
            <w:r w:rsidRPr="00DC322A">
              <w:rPr>
                <w:rFonts w:ascii="Times New Roman" w:hAnsi="Times New Roman"/>
              </w:rPr>
              <w:t>Договор на предоставление услуг системы дистанционного банковского обслуживания «Банк-Клиент»,</w:t>
            </w:r>
            <w:r>
              <w:rPr>
                <w:lang w:eastAsia="en-GB"/>
              </w:rPr>
              <w:t xml:space="preserve"> </w:t>
            </w:r>
            <w:r w:rsidRPr="00014420">
              <w:rPr>
                <w:rFonts w:ascii="Times New Roman" w:hAnsi="Times New Roman"/>
              </w:rPr>
              <w:t>услуг Удостоверяющего центра ПАО «Совкомбанк» в системе «Банк-Клиент»</w:t>
            </w:r>
            <w:r>
              <w:rPr>
                <w:rFonts w:ascii="Times New Roman" w:hAnsi="Times New Roman"/>
              </w:rPr>
              <w:t>;</w:t>
            </w:r>
          </w:p>
          <w:p w14:paraId="35F9BC56" w14:textId="77777777" w:rsidR="00AF5F45" w:rsidRDefault="00AF5F45" w:rsidP="00AF5F45">
            <w:pPr>
              <w:pStyle w:val="af0"/>
              <w:spacing w:before="0"/>
              <w:ind w:firstLine="709"/>
              <w:rPr>
                <w:rFonts w:ascii="Times New Roman" w:hAnsi="Times New Roman"/>
              </w:rPr>
            </w:pPr>
            <w:r>
              <w:rPr>
                <w:rFonts w:ascii="Times New Roman" w:hAnsi="Times New Roman"/>
              </w:rPr>
              <w:t>(б)</w:t>
            </w:r>
            <w:r w:rsidRPr="00014420">
              <w:rPr>
                <w:rFonts w:ascii="Times New Roman" w:hAnsi="Times New Roman"/>
              </w:rPr>
              <w:t xml:space="preserve"> </w:t>
            </w:r>
            <w:r w:rsidRPr="00D5299C">
              <w:rPr>
                <w:rFonts w:ascii="Times New Roman" w:hAnsi="Times New Roman"/>
              </w:rPr>
              <w:t>правила (условия) дистанционного банковского обслуживания в рамках Договора комплексного банковского обслуживания юридических лиц, индивидуальных предпринимателей и физических лиц, занимающихся в установленном законодательством РФ порядке частной практикой, в ПАО «Совкомбанк»/Договора комплексного обслуживания юридических лиц, индивидуальных предпринимателей и физических лиц, занимающихся в установленном законодательством РФ порядке частной практикой, в ПАО «Совкомбанк»</w:t>
            </w:r>
            <w:r>
              <w:rPr>
                <w:rFonts w:ascii="Times New Roman" w:hAnsi="Times New Roman"/>
              </w:rPr>
              <w:t>;</w:t>
            </w:r>
          </w:p>
          <w:p w14:paraId="37CF0B89" w14:textId="2CE672E2" w:rsidR="00AF5F45" w:rsidRPr="004F1462" w:rsidRDefault="00AF5F45" w:rsidP="004F1462">
            <w:pPr>
              <w:pStyle w:val="af0"/>
              <w:spacing w:before="0"/>
              <w:ind w:firstLine="709"/>
              <w:rPr>
                <w:rFonts w:ascii="Times New Roman" w:hAnsi="Times New Roman"/>
              </w:rPr>
            </w:pPr>
            <w:r>
              <w:rPr>
                <w:rFonts w:ascii="Times New Roman" w:hAnsi="Times New Roman"/>
              </w:rPr>
              <w:lastRenderedPageBreak/>
              <w:t>(в)</w:t>
            </w:r>
            <w:r w:rsidRPr="00014420">
              <w:rPr>
                <w:rFonts w:ascii="Times New Roman" w:hAnsi="Times New Roman"/>
              </w:rPr>
              <w:t xml:space="preserve"> Договор об обслуживании с использованием системы дистанционного банковского обслуживания физических лиц в ПАО «Совкомбанк».</w:t>
            </w:r>
          </w:p>
        </w:tc>
      </w:tr>
      <w:tr w:rsidR="00367FE3" w14:paraId="35D4629F" w14:textId="77777777" w:rsidTr="00DD3EC7">
        <w:tc>
          <w:tcPr>
            <w:tcW w:w="1701" w:type="dxa"/>
          </w:tcPr>
          <w:p w14:paraId="4AA51A2B" w14:textId="77777777" w:rsidR="00367FE3" w:rsidRPr="00A41039" w:rsidRDefault="00367FE3" w:rsidP="00DD3EC7">
            <w:pPr>
              <w:rPr>
                <w:rFonts w:ascii="Times New Roman" w:hAnsi="Times New Roman" w:cs="Times New Roman"/>
                <w:sz w:val="24"/>
                <w:szCs w:val="24"/>
              </w:rPr>
            </w:pPr>
            <w:r>
              <w:rPr>
                <w:rFonts w:ascii="Times New Roman" w:hAnsi="Times New Roman" w:cs="Times New Roman"/>
                <w:sz w:val="24"/>
                <w:szCs w:val="24"/>
              </w:rPr>
              <w:lastRenderedPageBreak/>
              <w:t>Раздел 2</w:t>
            </w:r>
          </w:p>
        </w:tc>
        <w:tc>
          <w:tcPr>
            <w:tcW w:w="6589" w:type="dxa"/>
          </w:tcPr>
          <w:p w14:paraId="32EE16DC" w14:textId="68D9638B" w:rsidR="00367FE3" w:rsidRPr="00367FE3" w:rsidRDefault="00367FE3" w:rsidP="00367FE3">
            <w:pPr>
              <w:pStyle w:val="af0"/>
              <w:spacing w:before="0"/>
              <w:ind w:firstLine="709"/>
              <w:rPr>
                <w:rFonts w:ascii="Times New Roman" w:hAnsi="Times New Roman"/>
                <w:b/>
                <w:bCs/>
              </w:rPr>
            </w:pPr>
            <w:r w:rsidRPr="00014420">
              <w:rPr>
                <w:rFonts w:ascii="Times New Roman" w:hAnsi="Times New Roman"/>
                <w:b/>
              </w:rPr>
              <w:t>Система дистанционного банковского обслуживания (Система ДБО)</w:t>
            </w:r>
            <w:r w:rsidRPr="00014420">
              <w:rPr>
                <w:rFonts w:ascii="Times New Roman" w:hAnsi="Times New Roman"/>
              </w:rPr>
              <w:t xml:space="preserve"> – организационно-техническая система, представляющая собой совокупность программного, аппаратного и технологического обеспечения Банка и Депонентов, реализующая обмен электронными документами между Банком и Депонентами, предоставляющая возможность клиентам Банка подавать поручения и направлять сообщения в рамках брокерского обслуживания, в рамках депозитарного обслуживания, по удаленному управлению банковскими счетами, а также по получению банковских услуг (продуктов), заключению договоров, получению иной информации от Банка через дистанционные каналы обслуживания согласно заключенному Договору ДБО, совершать иные операции.</w:t>
            </w:r>
          </w:p>
        </w:tc>
        <w:tc>
          <w:tcPr>
            <w:tcW w:w="6589" w:type="dxa"/>
          </w:tcPr>
          <w:p w14:paraId="15F8B0F2" w14:textId="77777777" w:rsidR="00367FE3" w:rsidRPr="00014420" w:rsidRDefault="00367FE3" w:rsidP="00367FE3">
            <w:pPr>
              <w:pStyle w:val="af0"/>
              <w:spacing w:before="0"/>
              <w:ind w:firstLine="709"/>
              <w:rPr>
                <w:rFonts w:ascii="Times New Roman" w:hAnsi="Times New Roman"/>
                <w:b/>
                <w:bCs/>
              </w:rPr>
            </w:pPr>
            <w:r w:rsidRPr="00014420">
              <w:rPr>
                <w:rFonts w:ascii="Times New Roman" w:hAnsi="Times New Roman"/>
                <w:b/>
              </w:rPr>
              <w:t>Система дистанционного банковского обслуживания (Система ДБО)</w:t>
            </w:r>
            <w:r w:rsidRPr="00014420">
              <w:rPr>
                <w:rFonts w:ascii="Times New Roman" w:hAnsi="Times New Roman"/>
              </w:rPr>
              <w:t xml:space="preserve"> – организационно-техническая система, представляющая собой совокупность программного, аппаратного и технологического обеспечения Банка и Депонентов, реализующая обмен электронными документами между Банком и Депонентами, предоставляющая возможность клиентам Банка подавать поручения и направлять сообщения в рамках брокерского обслуживания, в рамках депозитарного обслуживания, по удаленному управлению банковскими счетами, а также по получению банковских услуг (продуктов), заключению договоров, получению иной информации от Банка, совершать иные операции.</w:t>
            </w:r>
          </w:p>
          <w:p w14:paraId="29F4F7D5" w14:textId="2FD8491A" w:rsidR="00367FE3" w:rsidRPr="004F1462" w:rsidRDefault="00367FE3" w:rsidP="00DD3EC7">
            <w:pPr>
              <w:pStyle w:val="af0"/>
              <w:spacing w:before="0"/>
              <w:ind w:firstLine="709"/>
              <w:rPr>
                <w:rFonts w:ascii="Times New Roman" w:hAnsi="Times New Roman"/>
              </w:rPr>
            </w:pPr>
          </w:p>
        </w:tc>
      </w:tr>
      <w:tr w:rsidR="00D74B98" w14:paraId="48D4076E" w14:textId="77777777" w:rsidTr="00DD3EC7">
        <w:tc>
          <w:tcPr>
            <w:tcW w:w="1701" w:type="dxa"/>
          </w:tcPr>
          <w:p w14:paraId="5888FDA1" w14:textId="2B3B6400" w:rsidR="00D74B98" w:rsidRPr="00A41039" w:rsidRDefault="00D74B98" w:rsidP="00DD3EC7">
            <w:pPr>
              <w:rPr>
                <w:rFonts w:ascii="Times New Roman" w:hAnsi="Times New Roman" w:cs="Times New Roman"/>
                <w:sz w:val="24"/>
                <w:szCs w:val="24"/>
              </w:rPr>
            </w:pPr>
            <w:r>
              <w:rPr>
                <w:rFonts w:ascii="Times New Roman" w:hAnsi="Times New Roman" w:cs="Times New Roman"/>
                <w:sz w:val="24"/>
                <w:szCs w:val="24"/>
              </w:rPr>
              <w:t>Раздел 2</w:t>
            </w:r>
            <w:r w:rsidR="003D4C4C">
              <w:rPr>
                <w:rFonts w:ascii="Times New Roman" w:hAnsi="Times New Roman" w:cs="Times New Roman"/>
                <w:sz w:val="24"/>
                <w:szCs w:val="24"/>
              </w:rPr>
              <w:t xml:space="preserve"> (последний абзац)</w:t>
            </w:r>
          </w:p>
        </w:tc>
        <w:tc>
          <w:tcPr>
            <w:tcW w:w="6589" w:type="dxa"/>
          </w:tcPr>
          <w:p w14:paraId="4D0B5C59" w14:textId="77777777" w:rsidR="00D74B98" w:rsidRPr="00D74B98" w:rsidRDefault="00D74B98" w:rsidP="00D74B98">
            <w:pPr>
              <w:pStyle w:val="af0"/>
              <w:spacing w:before="0"/>
              <w:ind w:firstLine="709"/>
              <w:rPr>
                <w:rFonts w:ascii="Times New Roman" w:hAnsi="Times New Roman"/>
              </w:rPr>
            </w:pPr>
            <w:r w:rsidRPr="00D74B98">
              <w:rPr>
                <w:rFonts w:ascii="Times New Roman" w:hAnsi="Times New Roman"/>
              </w:rPr>
              <w:t>Термины и определения, используемые в настоящих Условиях и не определенные в данном разделе, должны пониматься в соответствии с Гражданским кодексом Российской Федерации, Федеральным законом «О рынке ценных бумаг» от 22.04.1996 г. № 39-ФЗ, Базовыми стандартами совершения депозитарием операций на финансовом рынке, Положением Банка России от 13.11.2015 № 503-П «О порядке открытия и ведения депозитариями счетов депо и иных счетов», Положением Банка России от 13.05.2016 №542-П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и другими нормативными правовыми актами Российской Федерации по рынку ценных бумаг.</w:t>
            </w:r>
          </w:p>
          <w:p w14:paraId="1A76F34A" w14:textId="092DE3E0" w:rsidR="00D74B98" w:rsidRPr="00D74B98" w:rsidRDefault="00D74B98" w:rsidP="00D74B98">
            <w:pPr>
              <w:pStyle w:val="af0"/>
              <w:spacing w:before="0"/>
              <w:ind w:firstLine="709"/>
              <w:rPr>
                <w:rFonts w:ascii="Times New Roman" w:hAnsi="Times New Roman"/>
              </w:rPr>
            </w:pPr>
          </w:p>
        </w:tc>
        <w:tc>
          <w:tcPr>
            <w:tcW w:w="6589" w:type="dxa"/>
          </w:tcPr>
          <w:p w14:paraId="63442889" w14:textId="41B26D07" w:rsidR="00D74B98" w:rsidRPr="004F1462" w:rsidRDefault="00D74B98" w:rsidP="00DD3EC7">
            <w:pPr>
              <w:pStyle w:val="af0"/>
              <w:spacing w:before="0"/>
              <w:ind w:firstLine="709"/>
              <w:rPr>
                <w:rFonts w:ascii="Times New Roman" w:hAnsi="Times New Roman"/>
              </w:rPr>
            </w:pPr>
            <w:r w:rsidRPr="00D74B98">
              <w:rPr>
                <w:rFonts w:ascii="Times New Roman" w:hAnsi="Times New Roman"/>
              </w:rPr>
              <w:lastRenderedPageBreak/>
              <w:t xml:space="preserve">Термины и определения, используемые в настоящих Условиях и не определенные в данном разделе, должны пониматься в соответствии с Гражданским кодексом Российской Федерации, Федеральным законом «О рынке ценных бумаг» от 22.04.1996 г. № 39-ФЗ, Базовыми стандартами совершения депозитарием операций на финансовом рынке, Положением Банка России от 13.11.2015 № 503-П «О порядке открытия и ведения депозитариями счетов депо и иных счетов», Положением Банка России от 13.05.2016 №542-П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и другими нормативными правовыми </w:t>
            </w:r>
            <w:r w:rsidRPr="00D74B98">
              <w:rPr>
                <w:rFonts w:ascii="Times New Roman" w:hAnsi="Times New Roman"/>
              </w:rPr>
              <w:lastRenderedPageBreak/>
              <w:t>актами Российской Федерации по рынку ценных бумаг, в значениях, установленных в Договоре ДБО</w:t>
            </w:r>
            <w:r>
              <w:rPr>
                <w:rFonts w:ascii="Times New Roman" w:hAnsi="Times New Roman"/>
              </w:rPr>
              <w:t>.</w:t>
            </w:r>
          </w:p>
        </w:tc>
      </w:tr>
      <w:tr w:rsidR="005F4DF8" w14:paraId="0582B9F9" w14:textId="77777777" w:rsidTr="00DD3EC7">
        <w:tc>
          <w:tcPr>
            <w:tcW w:w="1701" w:type="dxa"/>
          </w:tcPr>
          <w:p w14:paraId="34110438" w14:textId="0E4B51D6" w:rsidR="005F4DF8" w:rsidRPr="00A41039" w:rsidRDefault="005F4DF8" w:rsidP="00DD3EC7">
            <w:pPr>
              <w:rPr>
                <w:rFonts w:ascii="Times New Roman" w:hAnsi="Times New Roman" w:cs="Times New Roman"/>
                <w:sz w:val="24"/>
                <w:szCs w:val="24"/>
              </w:rPr>
            </w:pPr>
            <w:r w:rsidRPr="00A41039">
              <w:rPr>
                <w:rFonts w:ascii="Times New Roman" w:hAnsi="Times New Roman" w:cs="Times New Roman"/>
                <w:sz w:val="24"/>
                <w:szCs w:val="24"/>
              </w:rPr>
              <w:lastRenderedPageBreak/>
              <w:t>1</w:t>
            </w:r>
            <w:r>
              <w:rPr>
                <w:rFonts w:ascii="Times New Roman" w:hAnsi="Times New Roman" w:cs="Times New Roman"/>
                <w:sz w:val="24"/>
                <w:szCs w:val="24"/>
              </w:rPr>
              <w:t>6</w:t>
            </w:r>
            <w:r w:rsidRPr="00A41039">
              <w:rPr>
                <w:rFonts w:ascii="Times New Roman" w:hAnsi="Times New Roman" w:cs="Times New Roman"/>
                <w:sz w:val="24"/>
                <w:szCs w:val="24"/>
              </w:rPr>
              <w:t>.</w:t>
            </w:r>
            <w:r>
              <w:rPr>
                <w:rFonts w:ascii="Times New Roman" w:hAnsi="Times New Roman" w:cs="Times New Roman"/>
                <w:sz w:val="24"/>
                <w:szCs w:val="24"/>
              </w:rPr>
              <w:t>14</w:t>
            </w:r>
            <w:r w:rsidRPr="00A41039">
              <w:rPr>
                <w:rFonts w:ascii="Times New Roman" w:hAnsi="Times New Roman" w:cs="Times New Roman"/>
                <w:sz w:val="24"/>
                <w:szCs w:val="24"/>
              </w:rPr>
              <w:t>.</w:t>
            </w:r>
          </w:p>
        </w:tc>
        <w:tc>
          <w:tcPr>
            <w:tcW w:w="6589" w:type="dxa"/>
          </w:tcPr>
          <w:p w14:paraId="20E39612" w14:textId="77777777" w:rsidR="005F4DF8" w:rsidRPr="005F4DF8" w:rsidRDefault="005F4DF8" w:rsidP="005F4DF8">
            <w:pPr>
              <w:pStyle w:val="af0"/>
              <w:spacing w:before="0"/>
              <w:ind w:firstLine="709"/>
              <w:rPr>
                <w:rFonts w:ascii="Times New Roman" w:hAnsi="Times New Roman"/>
              </w:rPr>
            </w:pPr>
            <w:r w:rsidRPr="005F4DF8">
              <w:rPr>
                <w:rFonts w:ascii="Times New Roman" w:hAnsi="Times New Roman"/>
              </w:rPr>
              <w:t xml:space="preserve">При наличии технической возможности Депонент - юридическое лицо может подавать Поручения через Систему «Банк-Клиент». Электронный документооборот по Системе «Банк-Клиент» осуществляется только между Банком и Депонентами-юридическими лицами, присоединившихся (в том числе в рамках иных договоров об оказании услуг, оказываемых Банком) к Правилам электронного документооборота и дистанционного банковского обслуживания клиентов-юридических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«Совкомбанк». Порядок обмена между Банком и Клиентом электронными документами определяется в соответствии с Регламентом предоставления услуг Удостоверяющего центра ПАО «Совкомбанк» в системе дистанционного банковского обслуживания «Банк-Клиент», размещенного на Сайте Банка. </w:t>
            </w:r>
          </w:p>
          <w:p w14:paraId="5600E7C3" w14:textId="77777777" w:rsidR="005F4DF8" w:rsidRDefault="005F4DF8" w:rsidP="005F4DF8">
            <w:pPr>
              <w:pStyle w:val="af0"/>
              <w:spacing w:before="0"/>
              <w:ind w:firstLine="709"/>
              <w:rPr>
                <w:rFonts w:ascii="Times New Roman" w:hAnsi="Times New Roman"/>
              </w:rPr>
            </w:pPr>
            <w:r w:rsidRPr="005F4DF8">
              <w:rPr>
                <w:rFonts w:ascii="Times New Roman" w:hAnsi="Times New Roman"/>
              </w:rPr>
              <w:t>Депонент согласен, что все сообщения и Поручения, направленные Банку по Системе «Банк-Клиент», оформленные в порядке, установленным настоящими Условиями, являются надлежащим доказательством в отношениях между Депонентом и Банком и признается документом равнозначным документу на бумажном носителе, подписанном собственноручной подписью.</w:t>
            </w:r>
          </w:p>
          <w:p w14:paraId="4CD474D2" w14:textId="77777777" w:rsidR="005F4DF8" w:rsidRPr="005F4DF8" w:rsidRDefault="005F4DF8" w:rsidP="005F4DF8">
            <w:pPr>
              <w:tabs>
                <w:tab w:val="left" w:pos="540"/>
              </w:tabs>
              <w:ind w:firstLine="709"/>
              <w:jc w:val="both"/>
              <w:rPr>
                <w:rFonts w:ascii="Times New Roman" w:eastAsia="Times New Roman" w:hAnsi="Times New Roman" w:cs="Times New Roman"/>
                <w:sz w:val="24"/>
                <w:szCs w:val="24"/>
                <w:lang w:eastAsia="ru-RU"/>
              </w:rPr>
            </w:pPr>
            <w:r w:rsidRPr="005F4DF8">
              <w:rPr>
                <w:rFonts w:ascii="Times New Roman" w:eastAsia="Times New Roman" w:hAnsi="Times New Roman" w:cs="Times New Roman"/>
                <w:sz w:val="24"/>
                <w:szCs w:val="24"/>
                <w:lang w:eastAsia="ru-RU"/>
              </w:rPr>
              <w:t>Банк рекомендует Депоненту после направления сообщения/Поручения по Системе «Банк-Клиент» всегда запрашивать у сотрудника Депозитария подтверждение факта приема документа.</w:t>
            </w:r>
          </w:p>
          <w:p w14:paraId="723D822C" w14:textId="77777777" w:rsidR="005F4DF8" w:rsidRDefault="005F4DF8" w:rsidP="005F4DF8">
            <w:pPr>
              <w:tabs>
                <w:tab w:val="left" w:pos="540"/>
              </w:tabs>
              <w:ind w:firstLine="709"/>
              <w:jc w:val="both"/>
            </w:pPr>
            <w:r w:rsidRPr="005F4DF8">
              <w:rPr>
                <w:rFonts w:ascii="Times New Roman" w:eastAsia="Times New Roman" w:hAnsi="Times New Roman" w:cs="Times New Roman"/>
                <w:sz w:val="24"/>
                <w:szCs w:val="24"/>
                <w:lang w:eastAsia="ru-RU"/>
              </w:rPr>
              <w:t>Банк хранит полученные сообщения/Поручения в электронном виде с возможностью вывода на бумажный носитель по требованию</w:t>
            </w:r>
            <w:r>
              <w:t>.</w:t>
            </w:r>
          </w:p>
          <w:p w14:paraId="3CB7D27D" w14:textId="77777777" w:rsidR="005F4DF8" w:rsidRDefault="005F4DF8" w:rsidP="005F4DF8">
            <w:pPr>
              <w:ind w:firstLine="709"/>
              <w:jc w:val="both"/>
            </w:pPr>
            <w:r w:rsidRPr="005F4DF8">
              <w:rPr>
                <w:rFonts w:ascii="Times New Roman" w:eastAsia="Times New Roman" w:hAnsi="Times New Roman" w:cs="Times New Roman"/>
                <w:sz w:val="24"/>
                <w:szCs w:val="24"/>
                <w:lang w:eastAsia="ru-RU"/>
              </w:rPr>
              <w:lastRenderedPageBreak/>
              <w:t>Депонент согласен, что Банк не несет ответственности</w:t>
            </w:r>
            <w:r>
              <w:t xml:space="preserve">: </w:t>
            </w:r>
          </w:p>
          <w:p w14:paraId="7312CCAA" w14:textId="77777777" w:rsidR="005F4DF8" w:rsidRPr="0002316A" w:rsidRDefault="005F4DF8" w:rsidP="005F4DF8">
            <w:pPr>
              <w:numPr>
                <w:ilvl w:val="3"/>
                <w:numId w:val="3"/>
              </w:numPr>
              <w:tabs>
                <w:tab w:val="left" w:pos="540"/>
              </w:tabs>
              <w:ind w:left="0" w:firstLine="709"/>
              <w:jc w:val="both"/>
              <w:rPr>
                <w:rFonts w:ascii="Times New Roman" w:hAnsi="Times New Roman" w:cs="Times New Roman"/>
                <w:sz w:val="24"/>
                <w:szCs w:val="24"/>
              </w:rPr>
            </w:pPr>
            <w:r w:rsidRPr="0002316A">
              <w:rPr>
                <w:rFonts w:ascii="Times New Roman" w:hAnsi="Times New Roman" w:cs="Times New Roman"/>
                <w:sz w:val="24"/>
                <w:szCs w:val="24"/>
              </w:rPr>
              <w:t>за последствия, возникшие в результате передачи Депонентом использования Системы «Банк-Клиент» для направления в адрес Банка сообщений/Поручений лицу, неуполномоченному Депонентом надлежащим образом на отправку документов по Системе «Банк-Клиент»;</w:t>
            </w:r>
          </w:p>
          <w:p w14:paraId="33428BFF" w14:textId="77777777" w:rsidR="005F4DF8" w:rsidRPr="0002316A" w:rsidRDefault="005F4DF8" w:rsidP="005F4DF8">
            <w:pPr>
              <w:numPr>
                <w:ilvl w:val="3"/>
                <w:numId w:val="3"/>
              </w:numPr>
              <w:tabs>
                <w:tab w:val="left" w:pos="540"/>
              </w:tabs>
              <w:ind w:left="0" w:firstLine="709"/>
              <w:jc w:val="both"/>
              <w:rPr>
                <w:rFonts w:ascii="Times New Roman" w:hAnsi="Times New Roman" w:cs="Times New Roman"/>
                <w:sz w:val="24"/>
                <w:szCs w:val="24"/>
              </w:rPr>
            </w:pPr>
            <w:r w:rsidRPr="0002316A">
              <w:rPr>
                <w:rFonts w:ascii="Times New Roman" w:hAnsi="Times New Roman" w:cs="Times New Roman"/>
                <w:sz w:val="24"/>
                <w:szCs w:val="24"/>
              </w:rPr>
              <w:t xml:space="preserve">за поломку или неисправность средств связи, от которых зависит Банк при принятии сообщений/Поручений с использованием Системы «Банк-Клиент»;  </w:t>
            </w:r>
          </w:p>
          <w:p w14:paraId="1D29EEA1" w14:textId="77777777" w:rsidR="005F4DF8" w:rsidRDefault="005F4DF8" w:rsidP="0002316A">
            <w:pPr>
              <w:numPr>
                <w:ilvl w:val="3"/>
                <w:numId w:val="3"/>
              </w:numPr>
              <w:tabs>
                <w:tab w:val="left" w:pos="540"/>
              </w:tabs>
              <w:ind w:left="0" w:firstLine="709"/>
              <w:jc w:val="both"/>
            </w:pPr>
            <w:r w:rsidRPr="0002316A">
              <w:rPr>
                <w:rFonts w:ascii="Times New Roman" w:hAnsi="Times New Roman" w:cs="Times New Roman"/>
                <w:sz w:val="24"/>
                <w:szCs w:val="24"/>
              </w:rPr>
              <w:t>за любую неправильную либо недостаточную информацию, содержащуюся в сообщении/Поручении, полученные им с использованием Системы «Банк-Клиент»</w:t>
            </w:r>
            <w:r>
              <w:t>.</w:t>
            </w:r>
          </w:p>
          <w:p w14:paraId="4DB16A98" w14:textId="5464CE29" w:rsidR="00B70428" w:rsidRPr="00B70428" w:rsidRDefault="00B70428" w:rsidP="00B70428">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          </w:t>
            </w:r>
            <w:r w:rsidRPr="00B70428">
              <w:rPr>
                <w:rFonts w:ascii="Times New Roman" w:hAnsi="Times New Roman" w:cs="Times New Roman"/>
                <w:sz w:val="24"/>
                <w:szCs w:val="24"/>
              </w:rPr>
              <w:t>Банк не несет ответственности за возможное неисполнение сообщений/Поручений, связанное со сбоями в работе Системы «Банк-Клиент».</w:t>
            </w:r>
          </w:p>
          <w:p w14:paraId="5B321B1F" w14:textId="5ED9341F" w:rsidR="00B70428" w:rsidRPr="0002316A" w:rsidRDefault="00B70428" w:rsidP="00B70428">
            <w:pPr>
              <w:tabs>
                <w:tab w:val="left" w:pos="540"/>
              </w:tabs>
              <w:jc w:val="both"/>
            </w:pPr>
          </w:p>
        </w:tc>
        <w:tc>
          <w:tcPr>
            <w:tcW w:w="6589" w:type="dxa"/>
          </w:tcPr>
          <w:p w14:paraId="01433B3D" w14:textId="2AF8A1CF" w:rsidR="003C43A1" w:rsidRPr="003C43A1" w:rsidRDefault="003C43A1" w:rsidP="003C43A1">
            <w:pPr>
              <w:pStyle w:val="af0"/>
              <w:spacing w:before="0"/>
              <w:ind w:firstLine="709"/>
              <w:rPr>
                <w:rFonts w:ascii="Times New Roman" w:hAnsi="Times New Roman"/>
              </w:rPr>
            </w:pPr>
            <w:r w:rsidRPr="003C43A1">
              <w:rPr>
                <w:rFonts w:ascii="Times New Roman" w:hAnsi="Times New Roman"/>
              </w:rPr>
              <w:lastRenderedPageBreak/>
              <w:t xml:space="preserve">При наличии технической возможности Депонент - юридическое лицо может подавать Поручения через Систему «Банк-Клиент»/через личный кабинет Депонента в Системе ДБО в рамках Договора ДБО. </w:t>
            </w:r>
          </w:p>
          <w:p w14:paraId="0B444EE2" w14:textId="6828DD6F" w:rsidR="003C43A1" w:rsidRPr="003C43A1" w:rsidRDefault="003C43A1" w:rsidP="003C43A1">
            <w:pPr>
              <w:pStyle w:val="af0"/>
              <w:spacing w:before="0"/>
              <w:ind w:firstLine="709"/>
              <w:rPr>
                <w:rFonts w:ascii="Times New Roman" w:hAnsi="Times New Roman"/>
              </w:rPr>
            </w:pPr>
            <w:r w:rsidRPr="003C43A1">
              <w:rPr>
                <w:rFonts w:ascii="Times New Roman" w:hAnsi="Times New Roman"/>
              </w:rPr>
              <w:t xml:space="preserve">Электронный документооборот по Системе «Банк-Клиент» осуществляется только между Банком и Депонентами-юридическими лицами, присоединившихся к Договору на предоставление услуг системы дистанционного банковского обслуживания «Банк-Клиент» ПАО «Совкомбанк», услуг Удостоверяющего центра ПАО «Совкомбанк» в системе «Банк-Клиент» (в том числе в рамках иных договоров об оказании услуг, оказываемых Банком). Порядок обмена между Банком и Клиентом электронными документами по Системе «Банк-Клиент» определяется в соответствии с Регламентом предоставления услуг Удостоверяющего центра ПАО «Совкомбанк» в системе дистанционного банковского обслуживания «Банк-Клиент», размещенного на Сайте Банка. </w:t>
            </w:r>
          </w:p>
          <w:p w14:paraId="5692DEA9" w14:textId="77777777" w:rsidR="003C43A1" w:rsidRPr="003C43A1" w:rsidRDefault="003C43A1" w:rsidP="003C43A1">
            <w:pPr>
              <w:pStyle w:val="af0"/>
              <w:spacing w:before="0"/>
              <w:ind w:firstLine="709"/>
              <w:rPr>
                <w:rFonts w:ascii="Times New Roman" w:hAnsi="Times New Roman"/>
              </w:rPr>
            </w:pPr>
            <w:r w:rsidRPr="003C43A1">
              <w:rPr>
                <w:rFonts w:ascii="Times New Roman" w:hAnsi="Times New Roman"/>
              </w:rPr>
              <w:t>Депонент согласен, что все сообщения и Поручения, направленные Банку по Системе «Банк-Клиент»/через личный кабинет Депонента в Системе ДБО, оформленные в порядке, установленным настоящими Условиями, являются надлежащим доказательством в отношениях между Депонентом и Банком и признается документом равнозначным документу на бумажном носителе, подписанном собственноручной подписью.</w:t>
            </w:r>
          </w:p>
          <w:p w14:paraId="5B74E554" w14:textId="77777777" w:rsidR="003C43A1" w:rsidRDefault="003C43A1" w:rsidP="003C43A1">
            <w:pPr>
              <w:pStyle w:val="af0"/>
              <w:spacing w:before="0"/>
              <w:ind w:firstLine="709"/>
              <w:rPr>
                <w:rFonts w:ascii="Times New Roman" w:hAnsi="Times New Roman"/>
              </w:rPr>
            </w:pPr>
            <w:r w:rsidRPr="003C43A1">
              <w:rPr>
                <w:rFonts w:ascii="Times New Roman" w:hAnsi="Times New Roman"/>
              </w:rPr>
              <w:t>Банк рекомендует Депоненту после направления сообщения/Поручения по Системе «Банк-Клиент» всегда запрашивать у сотрудника Депозитария подтверждение факта приема документа.</w:t>
            </w:r>
          </w:p>
          <w:p w14:paraId="6E98CDD7" w14:textId="77777777" w:rsidR="003C43A1" w:rsidRPr="003C43A1" w:rsidRDefault="003C43A1" w:rsidP="003C43A1">
            <w:pPr>
              <w:ind w:firstLine="709"/>
              <w:jc w:val="both"/>
              <w:rPr>
                <w:rFonts w:ascii="Times New Roman" w:hAnsi="Times New Roman" w:cs="Times New Roman"/>
                <w:sz w:val="24"/>
                <w:szCs w:val="24"/>
              </w:rPr>
            </w:pPr>
            <w:r w:rsidRPr="003C43A1">
              <w:rPr>
                <w:rFonts w:ascii="Times New Roman" w:hAnsi="Times New Roman" w:cs="Times New Roman"/>
                <w:sz w:val="24"/>
                <w:szCs w:val="24"/>
              </w:rPr>
              <w:t xml:space="preserve">Депонент согласен, что Банк не несет ответственности: </w:t>
            </w:r>
          </w:p>
          <w:p w14:paraId="771D9103" w14:textId="77777777" w:rsidR="003C43A1" w:rsidRPr="003C43A1" w:rsidRDefault="003C43A1" w:rsidP="003C43A1">
            <w:pPr>
              <w:numPr>
                <w:ilvl w:val="3"/>
                <w:numId w:val="3"/>
              </w:numPr>
              <w:tabs>
                <w:tab w:val="left" w:pos="540"/>
              </w:tabs>
              <w:ind w:left="0" w:firstLine="709"/>
              <w:jc w:val="both"/>
              <w:rPr>
                <w:rFonts w:ascii="Times New Roman" w:hAnsi="Times New Roman" w:cs="Times New Roman"/>
                <w:sz w:val="24"/>
                <w:szCs w:val="24"/>
              </w:rPr>
            </w:pPr>
            <w:r w:rsidRPr="003C43A1">
              <w:rPr>
                <w:rFonts w:ascii="Times New Roman" w:hAnsi="Times New Roman" w:cs="Times New Roman"/>
                <w:sz w:val="24"/>
                <w:szCs w:val="24"/>
              </w:rPr>
              <w:lastRenderedPageBreak/>
              <w:t>за последствия, возникшие в результате передачи Депонентом использования Системы «Банк-Клиент»/личного кабинета Депонента в Системе ДБО для направления в адрес Банка сообщений/Поручений лицу, неуполномоченному Депонентом надлежащим образом на отправку документов по Системе «Банк-Клиент»/через личный кабинет Депонента в Системе ДБО;</w:t>
            </w:r>
          </w:p>
          <w:p w14:paraId="44510D1C" w14:textId="77777777" w:rsidR="003C43A1" w:rsidRPr="003C43A1" w:rsidRDefault="003C43A1" w:rsidP="003C43A1">
            <w:pPr>
              <w:numPr>
                <w:ilvl w:val="3"/>
                <w:numId w:val="3"/>
              </w:numPr>
              <w:tabs>
                <w:tab w:val="left" w:pos="540"/>
              </w:tabs>
              <w:ind w:left="0" w:firstLine="709"/>
              <w:jc w:val="both"/>
              <w:rPr>
                <w:rFonts w:ascii="Times New Roman" w:hAnsi="Times New Roman" w:cs="Times New Roman"/>
                <w:sz w:val="24"/>
                <w:szCs w:val="24"/>
              </w:rPr>
            </w:pPr>
            <w:r w:rsidRPr="003C43A1">
              <w:rPr>
                <w:rFonts w:ascii="Times New Roman" w:hAnsi="Times New Roman" w:cs="Times New Roman"/>
                <w:sz w:val="24"/>
                <w:szCs w:val="24"/>
              </w:rPr>
              <w:t xml:space="preserve">за поломку или неисправность средств связи, от которых зависит Банк при принятии сообщений/Поручений с использованием Системы «Банк-Клиент»/через личный кабинет Депонента в Системе ДБО;  </w:t>
            </w:r>
          </w:p>
          <w:p w14:paraId="7470D019" w14:textId="77777777" w:rsidR="003C43A1" w:rsidRPr="003C43A1" w:rsidRDefault="003C43A1" w:rsidP="003C43A1">
            <w:pPr>
              <w:numPr>
                <w:ilvl w:val="3"/>
                <w:numId w:val="3"/>
              </w:numPr>
              <w:tabs>
                <w:tab w:val="left" w:pos="540"/>
              </w:tabs>
              <w:ind w:left="0" w:firstLine="709"/>
              <w:jc w:val="both"/>
              <w:rPr>
                <w:rFonts w:ascii="Times New Roman" w:hAnsi="Times New Roman" w:cs="Times New Roman"/>
                <w:sz w:val="24"/>
                <w:szCs w:val="24"/>
              </w:rPr>
            </w:pPr>
            <w:r w:rsidRPr="003C43A1">
              <w:rPr>
                <w:rFonts w:ascii="Times New Roman" w:hAnsi="Times New Roman" w:cs="Times New Roman"/>
                <w:sz w:val="24"/>
                <w:szCs w:val="24"/>
              </w:rPr>
              <w:t>за любую неправильную либо недостаточную информацию, содержащуюся в сообщении/Поручении, полученные им с использованием Системы «Банк-Клиент»/через личный кабинет Депонента в Системе ДБО.</w:t>
            </w:r>
          </w:p>
          <w:p w14:paraId="48BC93E6" w14:textId="4FD2E5F6" w:rsidR="005F4DF8" w:rsidRPr="001A7DFC" w:rsidRDefault="003C43A1" w:rsidP="00BF4A13">
            <w:pPr>
              <w:tabs>
                <w:tab w:val="left" w:pos="540"/>
              </w:tabs>
              <w:ind w:firstLine="709"/>
              <w:jc w:val="both"/>
              <w:rPr>
                <w:rFonts w:ascii="Times New Roman" w:hAnsi="Times New Roman" w:cs="Times New Roman"/>
                <w:sz w:val="24"/>
                <w:szCs w:val="24"/>
              </w:rPr>
            </w:pPr>
            <w:r w:rsidRPr="003C43A1">
              <w:rPr>
                <w:rFonts w:ascii="Times New Roman" w:hAnsi="Times New Roman" w:cs="Times New Roman"/>
                <w:sz w:val="24"/>
                <w:szCs w:val="24"/>
              </w:rPr>
              <w:t>Банк не несет ответственности за возможное неисполнение сообщений/Поручений, связанное со сбоями в работе Системы «Банк-Клиент»/личного кабинет Депонента в Системе ДБО.</w:t>
            </w:r>
          </w:p>
        </w:tc>
      </w:tr>
      <w:tr w:rsidR="003D2FBF" w14:paraId="35BA7C1C" w14:textId="77777777" w:rsidTr="00DD3EC7">
        <w:tc>
          <w:tcPr>
            <w:tcW w:w="1701" w:type="dxa"/>
          </w:tcPr>
          <w:p w14:paraId="2561FDED" w14:textId="100EA728" w:rsidR="003D2FBF" w:rsidRPr="00A41039" w:rsidRDefault="003D2FBF" w:rsidP="00DD3EC7">
            <w:pPr>
              <w:rPr>
                <w:rFonts w:ascii="Times New Roman" w:hAnsi="Times New Roman" w:cs="Times New Roman"/>
                <w:sz w:val="24"/>
                <w:szCs w:val="24"/>
              </w:rPr>
            </w:pPr>
            <w:r w:rsidRPr="00A41039">
              <w:rPr>
                <w:rFonts w:ascii="Times New Roman" w:hAnsi="Times New Roman" w:cs="Times New Roman"/>
                <w:sz w:val="24"/>
                <w:szCs w:val="24"/>
              </w:rPr>
              <w:lastRenderedPageBreak/>
              <w:t>1</w:t>
            </w:r>
            <w:r>
              <w:rPr>
                <w:rFonts w:ascii="Times New Roman" w:hAnsi="Times New Roman" w:cs="Times New Roman"/>
                <w:sz w:val="24"/>
                <w:szCs w:val="24"/>
              </w:rPr>
              <w:t>8</w:t>
            </w:r>
            <w:r w:rsidRPr="00A41039">
              <w:rPr>
                <w:rFonts w:ascii="Times New Roman" w:hAnsi="Times New Roman" w:cs="Times New Roman"/>
                <w:sz w:val="24"/>
                <w:szCs w:val="24"/>
              </w:rPr>
              <w:t>.</w:t>
            </w:r>
            <w:r>
              <w:rPr>
                <w:rFonts w:ascii="Times New Roman" w:hAnsi="Times New Roman" w:cs="Times New Roman"/>
                <w:sz w:val="24"/>
                <w:szCs w:val="24"/>
              </w:rPr>
              <w:t>6</w:t>
            </w:r>
            <w:r w:rsidRPr="00A41039">
              <w:rPr>
                <w:rFonts w:ascii="Times New Roman" w:hAnsi="Times New Roman" w:cs="Times New Roman"/>
                <w:sz w:val="24"/>
                <w:szCs w:val="24"/>
              </w:rPr>
              <w:t>.</w:t>
            </w:r>
            <w:r>
              <w:rPr>
                <w:rFonts w:ascii="Times New Roman" w:hAnsi="Times New Roman" w:cs="Times New Roman"/>
                <w:sz w:val="24"/>
                <w:szCs w:val="24"/>
              </w:rPr>
              <w:t>3.</w:t>
            </w:r>
          </w:p>
        </w:tc>
        <w:tc>
          <w:tcPr>
            <w:tcW w:w="6589" w:type="dxa"/>
          </w:tcPr>
          <w:p w14:paraId="2799DB99" w14:textId="5C5E9810" w:rsidR="003D2FBF" w:rsidRPr="00A41039" w:rsidRDefault="003D2FBF" w:rsidP="003D2FBF">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          </w:t>
            </w:r>
            <w:r w:rsidRPr="003D2FBF">
              <w:rPr>
                <w:rFonts w:ascii="Times New Roman" w:hAnsi="Times New Roman" w:cs="Times New Roman"/>
                <w:sz w:val="24"/>
                <w:szCs w:val="24"/>
              </w:rPr>
              <w:t xml:space="preserve">Депонент вправе в любое время изменить контактные данные, указанные в Анкете (например, в случае принятия Депонентом решения об изменении адреса электронной почты, указанного Депонентом для получения отчетности в рамках депозитарного и/или брокерского обслуживания), путем предоставления обновленной Анкеты в Депозитарий, или путем внесения Депонентом - физическим лицом соответствующих изменений в свои контактные данные при наличии технической возможности через Систему ДБО или путем направления Депонентом - юридическим лицом новой Анкеты через Систему ДБО «Банк-Клиент». Изменение номера мобильного телефона, используемого Депонентом – физическим лицом для авторизации в Системе ДБО, путем внесения Депонентом - физическим лицом изменений в свои </w:t>
            </w:r>
            <w:r w:rsidRPr="003D2FBF">
              <w:rPr>
                <w:rFonts w:ascii="Times New Roman" w:hAnsi="Times New Roman" w:cs="Times New Roman"/>
                <w:sz w:val="24"/>
                <w:szCs w:val="24"/>
              </w:rPr>
              <w:lastRenderedPageBreak/>
              <w:t>контактные данные через Систему ДБО не допускается. Путем изменения Депонентом – физическим лицом своих контактных данных через Систему ДБО, Депонент – физическое лицо вносит соответствующие изменения в свои анкетные данные, ранее представленные Депонентом - физическим лицом в рамках Договора и Брокерского договора, ранее заключенных Депонентом с Банком</w:t>
            </w:r>
          </w:p>
        </w:tc>
        <w:tc>
          <w:tcPr>
            <w:tcW w:w="6589" w:type="dxa"/>
          </w:tcPr>
          <w:p w14:paraId="5A16BF6C" w14:textId="0AF8F110" w:rsidR="003D2FBF" w:rsidRPr="002F0C8A" w:rsidRDefault="003D2FBF" w:rsidP="00DD3EC7">
            <w:pPr>
              <w:tabs>
                <w:tab w:val="left" w:pos="540"/>
              </w:tabs>
              <w:jc w:val="both"/>
              <w:rPr>
                <w:rFonts w:ascii="Times New Roman" w:hAnsi="Times New Roman" w:cs="Times New Roman"/>
                <w:sz w:val="20"/>
                <w:szCs w:val="20"/>
              </w:rPr>
            </w:pPr>
            <w:r>
              <w:rPr>
                <w:rFonts w:ascii="Times New Roman" w:hAnsi="Times New Roman" w:cs="Times New Roman"/>
                <w:sz w:val="24"/>
                <w:szCs w:val="24"/>
              </w:rPr>
              <w:lastRenderedPageBreak/>
              <w:t xml:space="preserve">         </w:t>
            </w:r>
            <w:r w:rsidRPr="003D2FBF">
              <w:rPr>
                <w:rFonts w:ascii="Times New Roman" w:hAnsi="Times New Roman" w:cs="Times New Roman"/>
                <w:sz w:val="24"/>
                <w:szCs w:val="24"/>
              </w:rPr>
              <w:t xml:space="preserve">Депонент вправе в любое время изменить контактные данные, указанные в Анкете (например, в случае принятия Депонентом решения об изменении адреса электронной почты, указанного Депонентом для получения отчетности в рамках депозитарного и/или брокерского обслуживания), путем предоставления обновленной Анкеты в Депозитарий, или путем внесения Депонентом - физическим лицом соответствующих изменений в свои контактные данные при наличии технической возможности через Систему ДБО или путем направления Депонентом - юридическим лицом новой Анкеты через Систему ДБО «Банк-Клиент»/через личный кабинет Депонента в Системе ДБО. Изменение номера мобильного телефона, используемого Депонентом – физическим лицом для авторизации в Системе ДБО, путем </w:t>
            </w:r>
            <w:r w:rsidRPr="003D2FBF">
              <w:rPr>
                <w:rFonts w:ascii="Times New Roman" w:hAnsi="Times New Roman" w:cs="Times New Roman"/>
                <w:sz w:val="24"/>
                <w:szCs w:val="24"/>
              </w:rPr>
              <w:lastRenderedPageBreak/>
              <w:t>внесения Депонентом - физическим лицом изменений в свои контактные данные через Систему ДБО не допускается. Путем изменения Депонентом – физическим лицом своих контактных данных через Систему ДБО, Депонент – физическое лицо вносит соответствующие изменения в свои анкетные данные, ранее представленные Депонентом - физическим лицом в рамках Договора и Брокерского договора, ранее заключенных Депонентом с Банком.</w:t>
            </w:r>
          </w:p>
        </w:tc>
      </w:tr>
    </w:tbl>
    <w:p w14:paraId="0E8D7C33" w14:textId="687B2D60" w:rsidR="00E86722" w:rsidRDefault="00E86722"/>
    <w:p w14:paraId="0870F07A" w14:textId="77777777" w:rsidR="002E074D" w:rsidRDefault="002E074D" w:rsidP="0056733B">
      <w:pPr>
        <w:pStyle w:val="ab"/>
        <w:spacing w:after="0" w:line="240" w:lineRule="auto"/>
        <w:jc w:val="both"/>
        <w:rPr>
          <w:rFonts w:ascii="Times New Roman" w:hAnsi="Times New Roman" w:cs="Times New Roman"/>
          <w:color w:val="000000"/>
          <w:sz w:val="20"/>
          <w:szCs w:val="20"/>
        </w:rPr>
      </w:pPr>
    </w:p>
    <w:p w14:paraId="0046865E" w14:textId="77777777" w:rsidR="0056733B" w:rsidRDefault="0056733B"/>
    <w:sectPr w:rsidR="0056733B" w:rsidSect="006335D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FAAF" w14:textId="77777777" w:rsidR="00B62461" w:rsidRDefault="00B62461" w:rsidP="0036556A">
      <w:pPr>
        <w:spacing w:after="0" w:line="240" w:lineRule="auto"/>
      </w:pPr>
      <w:r>
        <w:separator/>
      </w:r>
    </w:p>
  </w:endnote>
  <w:endnote w:type="continuationSeparator" w:id="0">
    <w:p w14:paraId="66FFC1D5" w14:textId="77777777" w:rsidR="00B62461" w:rsidRDefault="00B62461" w:rsidP="0036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D032" w14:textId="77777777" w:rsidR="00B62461" w:rsidRDefault="00B62461" w:rsidP="0036556A">
      <w:pPr>
        <w:spacing w:after="0" w:line="240" w:lineRule="auto"/>
      </w:pPr>
      <w:r>
        <w:separator/>
      </w:r>
    </w:p>
  </w:footnote>
  <w:footnote w:type="continuationSeparator" w:id="0">
    <w:p w14:paraId="456237D1" w14:textId="77777777" w:rsidR="00B62461" w:rsidRDefault="00B62461" w:rsidP="00365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BB7"/>
    <w:multiLevelType w:val="hybridMultilevel"/>
    <w:tmpl w:val="38C2CE7E"/>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7AE7E20"/>
    <w:multiLevelType w:val="hybridMultilevel"/>
    <w:tmpl w:val="EE42F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256209"/>
    <w:multiLevelType w:val="multilevel"/>
    <w:tmpl w:val="6B4474DC"/>
    <w:lvl w:ilvl="0">
      <w:start w:val="1"/>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4D7E0D63"/>
    <w:multiLevelType w:val="multilevel"/>
    <w:tmpl w:val="99E2F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1401949570">
    <w:abstractNumId w:val="0"/>
  </w:num>
  <w:num w:numId="2" w16cid:durableId="1648628337">
    <w:abstractNumId w:val="1"/>
  </w:num>
  <w:num w:numId="3" w16cid:durableId="189103168">
    <w:abstractNumId w:val="3"/>
  </w:num>
  <w:num w:numId="4" w16cid:durableId="93789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0A"/>
    <w:rsid w:val="0002257B"/>
    <w:rsid w:val="0002316A"/>
    <w:rsid w:val="00035537"/>
    <w:rsid w:val="00044040"/>
    <w:rsid w:val="00046FAF"/>
    <w:rsid w:val="000A5706"/>
    <w:rsid w:val="000C7EF5"/>
    <w:rsid w:val="00192D26"/>
    <w:rsid w:val="001A7DFC"/>
    <w:rsid w:val="002065F6"/>
    <w:rsid w:val="002314A5"/>
    <w:rsid w:val="00257F96"/>
    <w:rsid w:val="00280344"/>
    <w:rsid w:val="002860DE"/>
    <w:rsid w:val="002D655C"/>
    <w:rsid w:val="002E074D"/>
    <w:rsid w:val="002F0C8A"/>
    <w:rsid w:val="0036556A"/>
    <w:rsid w:val="00367FE3"/>
    <w:rsid w:val="00380D56"/>
    <w:rsid w:val="003B0471"/>
    <w:rsid w:val="003B5B65"/>
    <w:rsid w:val="003C43A1"/>
    <w:rsid w:val="003D2FBF"/>
    <w:rsid w:val="003D4C4C"/>
    <w:rsid w:val="004752C8"/>
    <w:rsid w:val="00490A91"/>
    <w:rsid w:val="00491612"/>
    <w:rsid w:val="004A7A21"/>
    <w:rsid w:val="004E2A89"/>
    <w:rsid w:val="004F1462"/>
    <w:rsid w:val="00525D69"/>
    <w:rsid w:val="0056733B"/>
    <w:rsid w:val="005E7615"/>
    <w:rsid w:val="005F4DF8"/>
    <w:rsid w:val="00604408"/>
    <w:rsid w:val="006077E4"/>
    <w:rsid w:val="0061780A"/>
    <w:rsid w:val="006335DC"/>
    <w:rsid w:val="006E0919"/>
    <w:rsid w:val="006E595D"/>
    <w:rsid w:val="00715829"/>
    <w:rsid w:val="007A458E"/>
    <w:rsid w:val="00802C2B"/>
    <w:rsid w:val="00813B46"/>
    <w:rsid w:val="008167BD"/>
    <w:rsid w:val="00817DF7"/>
    <w:rsid w:val="008C7851"/>
    <w:rsid w:val="008E4A71"/>
    <w:rsid w:val="008E67F9"/>
    <w:rsid w:val="008F4158"/>
    <w:rsid w:val="00925238"/>
    <w:rsid w:val="009E790D"/>
    <w:rsid w:val="00A2190B"/>
    <w:rsid w:val="00A41039"/>
    <w:rsid w:val="00AE0B2F"/>
    <w:rsid w:val="00AF5F45"/>
    <w:rsid w:val="00B62461"/>
    <w:rsid w:val="00B70428"/>
    <w:rsid w:val="00BF4A13"/>
    <w:rsid w:val="00C13C28"/>
    <w:rsid w:val="00CC2FD7"/>
    <w:rsid w:val="00CC4ACB"/>
    <w:rsid w:val="00CD0DC2"/>
    <w:rsid w:val="00CE7461"/>
    <w:rsid w:val="00D4300E"/>
    <w:rsid w:val="00D74B98"/>
    <w:rsid w:val="00DC3B83"/>
    <w:rsid w:val="00DD2240"/>
    <w:rsid w:val="00DD5BBF"/>
    <w:rsid w:val="00E715EC"/>
    <w:rsid w:val="00E84389"/>
    <w:rsid w:val="00E86722"/>
    <w:rsid w:val="00ED5CAB"/>
    <w:rsid w:val="00F23CC6"/>
    <w:rsid w:val="00F4727A"/>
    <w:rsid w:val="00F50B63"/>
    <w:rsid w:val="00F95794"/>
    <w:rsid w:val="00F97689"/>
    <w:rsid w:val="00FE340C"/>
    <w:rsid w:val="00FF5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7A9B"/>
  <w15:chartTrackingRefBased/>
  <w15:docId w15:val="{85534B1B-E181-47B8-9632-C6F64A4B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167BD"/>
    <w:rPr>
      <w:sz w:val="16"/>
      <w:szCs w:val="16"/>
    </w:rPr>
  </w:style>
  <w:style w:type="paragraph" w:styleId="a5">
    <w:name w:val="annotation text"/>
    <w:basedOn w:val="a"/>
    <w:link w:val="a6"/>
    <w:uiPriority w:val="99"/>
    <w:semiHidden/>
    <w:unhideWhenUsed/>
    <w:rsid w:val="008167BD"/>
    <w:pPr>
      <w:spacing w:line="240" w:lineRule="auto"/>
    </w:pPr>
    <w:rPr>
      <w:sz w:val="20"/>
      <w:szCs w:val="20"/>
    </w:rPr>
  </w:style>
  <w:style w:type="character" w:customStyle="1" w:styleId="a6">
    <w:name w:val="Текст примечания Знак"/>
    <w:basedOn w:val="a0"/>
    <w:link w:val="a5"/>
    <w:uiPriority w:val="99"/>
    <w:semiHidden/>
    <w:rsid w:val="008167BD"/>
    <w:rPr>
      <w:sz w:val="20"/>
      <w:szCs w:val="20"/>
    </w:rPr>
  </w:style>
  <w:style w:type="paragraph" w:styleId="a7">
    <w:name w:val="annotation subject"/>
    <w:basedOn w:val="a5"/>
    <w:next w:val="a5"/>
    <w:link w:val="a8"/>
    <w:uiPriority w:val="99"/>
    <w:semiHidden/>
    <w:unhideWhenUsed/>
    <w:rsid w:val="008167BD"/>
    <w:rPr>
      <w:b/>
      <w:bCs/>
    </w:rPr>
  </w:style>
  <w:style w:type="character" w:customStyle="1" w:styleId="a8">
    <w:name w:val="Тема примечания Знак"/>
    <w:basedOn w:val="a6"/>
    <w:link w:val="a7"/>
    <w:uiPriority w:val="99"/>
    <w:semiHidden/>
    <w:rsid w:val="008167BD"/>
    <w:rPr>
      <w:b/>
      <w:bCs/>
      <w:sz w:val="20"/>
      <w:szCs w:val="20"/>
    </w:rPr>
  </w:style>
  <w:style w:type="paragraph" w:styleId="a9">
    <w:name w:val="Balloon Text"/>
    <w:basedOn w:val="a"/>
    <w:link w:val="aa"/>
    <w:uiPriority w:val="99"/>
    <w:semiHidden/>
    <w:unhideWhenUsed/>
    <w:rsid w:val="008167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67BD"/>
    <w:rPr>
      <w:rFonts w:ascii="Segoe UI" w:hAnsi="Segoe UI" w:cs="Segoe UI"/>
      <w:sz w:val="18"/>
      <w:szCs w:val="18"/>
    </w:rPr>
  </w:style>
  <w:style w:type="paragraph" w:styleId="ab">
    <w:name w:val="List Paragraph"/>
    <w:basedOn w:val="a"/>
    <w:link w:val="ac"/>
    <w:uiPriority w:val="34"/>
    <w:qFormat/>
    <w:rsid w:val="00817DF7"/>
    <w:pPr>
      <w:spacing w:after="200" w:line="276" w:lineRule="auto"/>
      <w:ind w:left="720"/>
      <w:contextualSpacing/>
    </w:pPr>
  </w:style>
  <w:style w:type="paragraph" w:styleId="ad">
    <w:name w:val="footnote text"/>
    <w:basedOn w:val="a"/>
    <w:link w:val="ae"/>
    <w:uiPriority w:val="99"/>
    <w:unhideWhenUsed/>
    <w:rsid w:val="0036556A"/>
    <w:pPr>
      <w:spacing w:after="0" w:line="240" w:lineRule="auto"/>
    </w:pPr>
    <w:rPr>
      <w:sz w:val="20"/>
      <w:szCs w:val="20"/>
    </w:rPr>
  </w:style>
  <w:style w:type="character" w:customStyle="1" w:styleId="ae">
    <w:name w:val="Текст сноски Знак"/>
    <w:basedOn w:val="a0"/>
    <w:link w:val="ad"/>
    <w:uiPriority w:val="99"/>
    <w:rsid w:val="0036556A"/>
    <w:rPr>
      <w:sz w:val="20"/>
      <w:szCs w:val="20"/>
    </w:rPr>
  </w:style>
  <w:style w:type="character" w:styleId="af">
    <w:name w:val="footnote reference"/>
    <w:basedOn w:val="a0"/>
    <w:uiPriority w:val="99"/>
    <w:semiHidden/>
    <w:unhideWhenUsed/>
    <w:rsid w:val="0036556A"/>
    <w:rPr>
      <w:vertAlign w:val="superscript"/>
    </w:rPr>
  </w:style>
  <w:style w:type="character" w:customStyle="1" w:styleId="ac">
    <w:name w:val="Абзац списка Знак"/>
    <w:link w:val="ab"/>
    <w:uiPriority w:val="34"/>
    <w:locked/>
    <w:rsid w:val="00AE0B2F"/>
  </w:style>
  <w:style w:type="paragraph" w:customStyle="1" w:styleId="ConsPlusNormal">
    <w:name w:val="ConsPlusNormal"/>
    <w:rsid w:val="0002257B"/>
    <w:pPr>
      <w:autoSpaceDE w:val="0"/>
      <w:autoSpaceDN w:val="0"/>
      <w:adjustRightInd w:val="0"/>
      <w:spacing w:after="0" w:line="240" w:lineRule="auto"/>
    </w:pPr>
    <w:rPr>
      <w:rFonts w:ascii="Arial" w:eastAsia="Times New Roman" w:hAnsi="Arial" w:cs="Arial"/>
      <w:sz w:val="20"/>
      <w:szCs w:val="20"/>
      <w:lang w:eastAsia="ru-RU"/>
    </w:rPr>
  </w:style>
  <w:style w:type="paragraph" w:styleId="af0">
    <w:name w:val="Normal Indent"/>
    <w:basedOn w:val="a"/>
    <w:rsid w:val="00AF5F45"/>
    <w:pPr>
      <w:autoSpaceDE w:val="0"/>
      <w:autoSpaceDN w:val="0"/>
      <w:spacing w:before="120" w:after="0" w:line="240" w:lineRule="auto"/>
      <w:ind w:firstLine="720"/>
      <w:jc w:val="both"/>
    </w:pPr>
    <w:rPr>
      <w:rFonts w:ascii="Courier New" w:eastAsia="Times New Roman" w:hAnsi="Courier New"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97931-D258-4144-8B42-8782B342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7</Pages>
  <Words>2505</Words>
  <Characters>14279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Вергель Максим Николаевич</dc:creator>
  <cp:keywords/>
  <dc:description/>
  <cp:lastModifiedBy>Яремин Юрий Васильевич</cp:lastModifiedBy>
  <cp:revision>51</cp:revision>
  <dcterms:created xsi:type="dcterms:W3CDTF">2025-08-07T14:48:00Z</dcterms:created>
  <dcterms:modified xsi:type="dcterms:W3CDTF">2026-06-03T08:27:00Z</dcterms:modified>
</cp:coreProperties>
</file>