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446" w:type="dxa"/>
        <w:tblLook w:val="04A0" w:firstRow="1" w:lastRow="0" w:firstColumn="1" w:lastColumn="0" w:noHBand="0" w:noVBand="1"/>
      </w:tblPr>
      <w:tblGrid>
        <w:gridCol w:w="581"/>
        <w:gridCol w:w="2219"/>
        <w:gridCol w:w="2197"/>
        <w:gridCol w:w="5063"/>
        <w:gridCol w:w="5386"/>
      </w:tblGrid>
      <w:tr w:rsidR="00161AEC" w:rsidRPr="00EB0CBA" w:rsidTr="00B24A1C">
        <w:tc>
          <w:tcPr>
            <w:tcW w:w="581" w:type="dxa"/>
          </w:tcPr>
          <w:p w:rsidR="00161AEC" w:rsidRPr="00EB0CBA" w:rsidRDefault="00161AEC">
            <w:pPr>
              <w:rPr>
                <w:rFonts w:ascii="Times New Roman" w:hAnsi="Times New Roman" w:cs="Times New Roman"/>
                <w:sz w:val="20"/>
                <w:szCs w:val="20"/>
              </w:rPr>
            </w:pPr>
          </w:p>
        </w:tc>
        <w:tc>
          <w:tcPr>
            <w:tcW w:w="2219"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Документ</w:t>
            </w:r>
          </w:p>
        </w:tc>
        <w:tc>
          <w:tcPr>
            <w:tcW w:w="2197"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Раздел документа</w:t>
            </w:r>
          </w:p>
        </w:tc>
        <w:tc>
          <w:tcPr>
            <w:tcW w:w="5063"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Было</w:t>
            </w:r>
          </w:p>
        </w:tc>
        <w:tc>
          <w:tcPr>
            <w:tcW w:w="5386"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Стало</w:t>
            </w:r>
          </w:p>
        </w:tc>
      </w:tr>
      <w:tr w:rsidR="00161AEC" w:rsidRPr="00EB0CBA" w:rsidTr="00B24A1C">
        <w:tc>
          <w:tcPr>
            <w:tcW w:w="581" w:type="dxa"/>
          </w:tcPr>
          <w:p w:rsidR="00161AEC" w:rsidRPr="00EB0CBA" w:rsidRDefault="00161AEC">
            <w:pPr>
              <w:rPr>
                <w:rFonts w:ascii="Times New Roman" w:hAnsi="Times New Roman" w:cs="Times New Roman"/>
                <w:sz w:val="20"/>
                <w:szCs w:val="20"/>
              </w:rPr>
            </w:pPr>
            <w:r w:rsidRPr="00EB0CBA">
              <w:rPr>
                <w:rFonts w:ascii="Times New Roman" w:hAnsi="Times New Roman" w:cs="Times New Roman"/>
                <w:sz w:val="20"/>
                <w:szCs w:val="20"/>
              </w:rPr>
              <w:t>1</w:t>
            </w:r>
            <w:r w:rsidR="006B0B72">
              <w:rPr>
                <w:rFonts w:ascii="Times New Roman" w:hAnsi="Times New Roman" w:cs="Times New Roman"/>
                <w:sz w:val="20"/>
                <w:szCs w:val="20"/>
              </w:rPr>
              <w:t>.</w:t>
            </w:r>
          </w:p>
        </w:tc>
        <w:tc>
          <w:tcPr>
            <w:tcW w:w="2219" w:type="dxa"/>
          </w:tcPr>
          <w:p w:rsidR="00E6205A"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E6205A"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161AEC"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sidR="009E11EB">
              <w:rPr>
                <w:rFonts w:ascii="Times New Roman" w:hAnsi="Times New Roman" w:cs="Times New Roman"/>
                <w:sz w:val="20"/>
                <w:szCs w:val="20"/>
              </w:rPr>
              <w:t>»</w:t>
            </w:r>
          </w:p>
        </w:tc>
        <w:tc>
          <w:tcPr>
            <w:tcW w:w="2197" w:type="dxa"/>
          </w:tcPr>
          <w:p w:rsidR="00161AEC" w:rsidRPr="006E1E50" w:rsidRDefault="006E1E50" w:rsidP="006E1E50">
            <w:pPr>
              <w:rPr>
                <w:rFonts w:ascii="Times New Roman" w:hAnsi="Times New Roman"/>
                <w:sz w:val="20"/>
                <w:szCs w:val="20"/>
              </w:rPr>
            </w:pPr>
            <w:r w:rsidRPr="006E1E50">
              <w:rPr>
                <w:rFonts w:ascii="Times New Roman" w:hAnsi="Times New Roman" w:cs="Times New Roman"/>
                <w:sz w:val="20"/>
                <w:szCs w:val="20"/>
              </w:rPr>
              <w:t>1.</w:t>
            </w:r>
            <w:r>
              <w:rPr>
                <w:rFonts w:ascii="Times New Roman" w:hAnsi="Times New Roman"/>
                <w:sz w:val="20"/>
                <w:szCs w:val="20"/>
              </w:rPr>
              <w:t xml:space="preserve">1. </w:t>
            </w:r>
            <w:r w:rsidRPr="006E1E50">
              <w:rPr>
                <w:rFonts w:ascii="Times New Roman" w:hAnsi="Times New Roman"/>
                <w:sz w:val="20"/>
                <w:szCs w:val="20"/>
              </w:rPr>
              <w:t>ТЕРМИНЫ, СОКРАЩЕНИЯ И ОПРЕДЕЛЕНИЯ</w:t>
            </w:r>
          </w:p>
        </w:tc>
        <w:tc>
          <w:tcPr>
            <w:tcW w:w="5063" w:type="dxa"/>
          </w:tcPr>
          <w:p w:rsidR="00161AEC" w:rsidRPr="00EB0CBA" w:rsidRDefault="006E1E50" w:rsidP="002F5B18">
            <w:pPr>
              <w:rPr>
                <w:rFonts w:ascii="Times New Roman" w:hAnsi="Times New Roman" w:cs="Times New Roman"/>
                <w:sz w:val="20"/>
                <w:szCs w:val="20"/>
              </w:rPr>
            </w:pPr>
            <w:r w:rsidRPr="006E1E50">
              <w:rPr>
                <w:rFonts w:ascii="Times New Roman" w:hAnsi="Times New Roman" w:cs="Times New Roman"/>
                <w:sz w:val="20"/>
                <w:szCs w:val="20"/>
              </w:rPr>
              <w:t>Гарантийное обеспечение Клиента — рассчитываемый в соответствии с Договором размер денежных средств, требуемых от Клиента для обеспечения всех его Открытых позиций по Срочным сделкам, а также для исполнения последним всех обязательств по Договору перед Банком. Размер Гарантийного обеспечения Клиента определяется как сумма средств, составляющих 100% от размера Гарантийного обеспечения, установленного Правилами ТС и денежных средств, необходимых для оплаты вознаграждения и расходов Банка, связанных с исполнением Поручения на совершение Срочной сделки и Поручения на исполнение Опциона.</w:t>
            </w:r>
          </w:p>
        </w:tc>
        <w:tc>
          <w:tcPr>
            <w:tcW w:w="5386" w:type="dxa"/>
          </w:tcPr>
          <w:p w:rsidR="00161AEC" w:rsidRPr="00EB0CBA" w:rsidRDefault="006E1E50" w:rsidP="002F5B18">
            <w:pPr>
              <w:rPr>
                <w:rFonts w:ascii="Times New Roman" w:hAnsi="Times New Roman" w:cs="Times New Roman"/>
                <w:sz w:val="20"/>
                <w:szCs w:val="20"/>
              </w:rPr>
            </w:pPr>
            <w:r w:rsidRPr="006E1E50">
              <w:rPr>
                <w:rFonts w:ascii="Times New Roman" w:hAnsi="Times New Roman" w:cs="Times New Roman"/>
                <w:sz w:val="20"/>
                <w:szCs w:val="20"/>
              </w:rPr>
              <w:t>Гарантийное обеспечение Клиента — рассчитываемый в соответствии с Договором размер денежных средств, требуемых от Клиента для обеспечения всех его Открытых позиций по Срочным сделкам, а также для исполнения последним всех обязательств по Договору перед Банком. Размер Гарантийного обеспечения Клиента определяется как сумма средств, составляющих не менее 100% от размера Гарантийного обеспечения, установленного Правилами ТС в соответствии с категорией риска Клиента и денежных средств, необходимых для оплаты вознаграждения и расходов Банка, связанных с исполнением Поручения на совершение Срочной сделки и Поручения на исполнение Опциона.</w:t>
            </w:r>
          </w:p>
        </w:tc>
      </w:tr>
      <w:tr w:rsidR="006B0B72" w:rsidRPr="00EB0CBA" w:rsidTr="00B24A1C">
        <w:tc>
          <w:tcPr>
            <w:tcW w:w="581" w:type="dxa"/>
          </w:tcPr>
          <w:p w:rsidR="006B0B72" w:rsidRPr="00EB0CBA" w:rsidRDefault="006B0B72" w:rsidP="006B0B72">
            <w:pPr>
              <w:rPr>
                <w:rFonts w:ascii="Times New Roman" w:hAnsi="Times New Roman" w:cs="Times New Roman"/>
                <w:sz w:val="20"/>
                <w:szCs w:val="20"/>
              </w:rPr>
            </w:pPr>
            <w:r>
              <w:rPr>
                <w:rFonts w:ascii="Times New Roman" w:hAnsi="Times New Roman" w:cs="Times New Roman"/>
                <w:sz w:val="20"/>
                <w:szCs w:val="20"/>
              </w:rPr>
              <w:t>2.</w:t>
            </w:r>
          </w:p>
        </w:tc>
        <w:tc>
          <w:tcPr>
            <w:tcW w:w="2219" w:type="dxa"/>
          </w:tcPr>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6B0B72" w:rsidRPr="00EB0CBA" w:rsidRDefault="006E1E50" w:rsidP="006B0B72">
            <w:pPr>
              <w:rPr>
                <w:rFonts w:ascii="Times New Roman" w:hAnsi="Times New Roman" w:cs="Times New Roman"/>
                <w:sz w:val="20"/>
                <w:szCs w:val="20"/>
              </w:rPr>
            </w:pPr>
            <w:r w:rsidRPr="006E1E50">
              <w:rPr>
                <w:rFonts w:ascii="Times New Roman" w:hAnsi="Times New Roman" w:cs="Times New Roman"/>
                <w:sz w:val="20"/>
                <w:szCs w:val="20"/>
              </w:rPr>
              <w:t>1.1. ТЕРМИНЫ, СОКРАЩЕНИЯ И ОПРЕДЕЛЕНИЯ</w:t>
            </w:r>
          </w:p>
        </w:tc>
        <w:tc>
          <w:tcPr>
            <w:tcW w:w="5063" w:type="dxa"/>
          </w:tcPr>
          <w:p w:rsidR="006B0B72" w:rsidRPr="00EB0CBA" w:rsidRDefault="006E1E50" w:rsidP="006B0B72">
            <w:pPr>
              <w:rPr>
                <w:rFonts w:ascii="Times New Roman" w:hAnsi="Times New Roman" w:cs="Times New Roman"/>
                <w:sz w:val="20"/>
                <w:szCs w:val="20"/>
              </w:rPr>
            </w:pPr>
            <w:r w:rsidRPr="006E1E50">
              <w:rPr>
                <w:rFonts w:ascii="Times New Roman" w:hAnsi="Times New Roman" w:cs="Times New Roman"/>
                <w:sz w:val="20"/>
                <w:szCs w:val="20"/>
              </w:rPr>
              <w:t>Единые требования — Указание Банка России от 26 ноября 2020 г. N 5636-У «О требованиях к осуществлению брокерской деятельности при совершении брокером отдельных сделок за счет клиента» (со всеми изменениями, дополнениями и приложениями к нему).</w:t>
            </w:r>
          </w:p>
        </w:tc>
        <w:tc>
          <w:tcPr>
            <w:tcW w:w="5386" w:type="dxa"/>
          </w:tcPr>
          <w:p w:rsidR="006B0B72" w:rsidRPr="00EB0CBA" w:rsidRDefault="006E1E50" w:rsidP="006B0B72">
            <w:pPr>
              <w:rPr>
                <w:rFonts w:ascii="Times New Roman" w:hAnsi="Times New Roman" w:cs="Times New Roman"/>
                <w:sz w:val="20"/>
                <w:szCs w:val="20"/>
              </w:rPr>
            </w:pPr>
            <w:r w:rsidRPr="006E1E50">
              <w:rPr>
                <w:rFonts w:ascii="Times New Roman" w:hAnsi="Times New Roman" w:cs="Times New Roman"/>
                <w:sz w:val="20"/>
                <w:szCs w:val="20"/>
              </w:rPr>
              <w:t>Единые требования — Указание Банка России от 12 февраля 2024 г. N 6681-У «О требованиях к осуществлению брокерской деятельности при совершении брокером отдельных сделок за счет клиента» (со всеми изменениями, дополнениями и приложениями к нему).</w:t>
            </w:r>
          </w:p>
        </w:tc>
      </w:tr>
      <w:tr w:rsidR="006B0B72" w:rsidRPr="00EB0CBA" w:rsidTr="00B24A1C">
        <w:tc>
          <w:tcPr>
            <w:tcW w:w="581" w:type="dxa"/>
          </w:tcPr>
          <w:p w:rsidR="006B0B72" w:rsidRPr="00EB0CBA" w:rsidRDefault="008158EE" w:rsidP="006B0B72">
            <w:pPr>
              <w:rPr>
                <w:rFonts w:ascii="Times New Roman" w:hAnsi="Times New Roman" w:cs="Times New Roman"/>
                <w:sz w:val="20"/>
                <w:szCs w:val="20"/>
              </w:rPr>
            </w:pPr>
            <w:r>
              <w:rPr>
                <w:rFonts w:ascii="Times New Roman" w:hAnsi="Times New Roman" w:cs="Times New Roman"/>
                <w:sz w:val="20"/>
                <w:szCs w:val="20"/>
              </w:rPr>
              <w:t>3.</w:t>
            </w:r>
          </w:p>
        </w:tc>
        <w:tc>
          <w:tcPr>
            <w:tcW w:w="2219" w:type="dxa"/>
          </w:tcPr>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6B0B72" w:rsidRPr="00EB0CBA" w:rsidRDefault="006E1E50" w:rsidP="006B0B72">
            <w:pPr>
              <w:rPr>
                <w:rFonts w:ascii="Times New Roman" w:hAnsi="Times New Roman" w:cs="Times New Roman"/>
                <w:sz w:val="20"/>
                <w:szCs w:val="20"/>
              </w:rPr>
            </w:pPr>
            <w:r w:rsidRPr="006E1E50">
              <w:rPr>
                <w:rFonts w:ascii="Times New Roman" w:hAnsi="Times New Roman" w:cs="Times New Roman"/>
                <w:sz w:val="20"/>
                <w:szCs w:val="20"/>
              </w:rPr>
              <w:t>1.1. ТЕРМИНЫ, СОКРАЩЕНИЯ И ОПРЕДЕЛЕНИЯ</w:t>
            </w:r>
          </w:p>
        </w:tc>
        <w:tc>
          <w:tcPr>
            <w:tcW w:w="5063" w:type="dxa"/>
          </w:tcPr>
          <w:p w:rsidR="006B0B72" w:rsidRPr="00EB0CBA" w:rsidRDefault="006E1E50" w:rsidP="006B0B72">
            <w:pPr>
              <w:rPr>
                <w:rFonts w:ascii="Times New Roman" w:hAnsi="Times New Roman" w:cs="Times New Roman"/>
                <w:sz w:val="20"/>
                <w:szCs w:val="20"/>
              </w:rPr>
            </w:pPr>
            <w:r w:rsidRPr="006E1E50">
              <w:rPr>
                <w:rFonts w:ascii="Times New Roman" w:hAnsi="Times New Roman" w:cs="Times New Roman"/>
                <w:sz w:val="20"/>
                <w:szCs w:val="20"/>
              </w:rPr>
              <w:t>Плановая позиция – позиция Клиента по ценной бумаге или денежным средствам, скорректированная на величину обязательств/требований по нерассчитанным сделкам.</w:t>
            </w:r>
          </w:p>
        </w:tc>
        <w:tc>
          <w:tcPr>
            <w:tcW w:w="5386" w:type="dxa"/>
          </w:tcPr>
          <w:p w:rsidR="006B0B72" w:rsidRPr="000842C1" w:rsidRDefault="006E1E50" w:rsidP="006B0B72">
            <w:pPr>
              <w:rPr>
                <w:rFonts w:ascii="Times New Roman" w:hAnsi="Times New Roman" w:cs="Times New Roman"/>
                <w:sz w:val="20"/>
                <w:szCs w:val="20"/>
              </w:rPr>
            </w:pPr>
            <w:r w:rsidRPr="006E1E50">
              <w:rPr>
                <w:rFonts w:ascii="Times New Roman" w:hAnsi="Times New Roman" w:cs="Times New Roman"/>
                <w:sz w:val="20"/>
                <w:szCs w:val="20"/>
              </w:rPr>
              <w:t>Плановая позиция – позиция Клиента по ценным бумагам, денежным средствам, драгоценным металлам, скорректированная на величину обязательств/требований по нерассчитанным сделкам.</w:t>
            </w:r>
          </w:p>
        </w:tc>
      </w:tr>
      <w:tr w:rsidR="006B0B72" w:rsidRPr="00EB0CBA" w:rsidTr="00B24A1C">
        <w:tc>
          <w:tcPr>
            <w:tcW w:w="581" w:type="dxa"/>
          </w:tcPr>
          <w:p w:rsidR="006B0B72" w:rsidRPr="00EB0CBA" w:rsidRDefault="008158EE" w:rsidP="006B0B72">
            <w:pPr>
              <w:rPr>
                <w:rFonts w:ascii="Times New Roman" w:hAnsi="Times New Roman" w:cs="Times New Roman"/>
                <w:sz w:val="20"/>
                <w:szCs w:val="20"/>
              </w:rPr>
            </w:pPr>
            <w:r>
              <w:rPr>
                <w:rFonts w:ascii="Times New Roman" w:hAnsi="Times New Roman" w:cs="Times New Roman"/>
                <w:sz w:val="20"/>
                <w:szCs w:val="20"/>
              </w:rPr>
              <w:t>4.</w:t>
            </w:r>
          </w:p>
        </w:tc>
        <w:tc>
          <w:tcPr>
            <w:tcW w:w="2219" w:type="dxa"/>
          </w:tcPr>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6B0B72" w:rsidRDefault="006E1E50" w:rsidP="006B0B72">
            <w:pPr>
              <w:rPr>
                <w:rFonts w:ascii="Times New Roman" w:hAnsi="Times New Roman" w:cs="Times New Roman"/>
                <w:sz w:val="20"/>
                <w:szCs w:val="20"/>
              </w:rPr>
            </w:pPr>
            <w:r w:rsidRPr="006E1E50">
              <w:rPr>
                <w:rFonts w:ascii="Times New Roman" w:hAnsi="Times New Roman" w:cs="Times New Roman"/>
                <w:sz w:val="20"/>
                <w:szCs w:val="20"/>
              </w:rPr>
              <w:t>1.1. ТЕРМИНЫ, СОКРАЩЕНИЯ И ОПРЕДЕЛЕНИЯ</w:t>
            </w:r>
          </w:p>
        </w:tc>
        <w:tc>
          <w:tcPr>
            <w:tcW w:w="5063" w:type="dxa"/>
          </w:tcPr>
          <w:p w:rsidR="006B0B72" w:rsidRDefault="006E1E50" w:rsidP="006B0B72">
            <w:pPr>
              <w:rPr>
                <w:rFonts w:ascii="Times New Roman" w:hAnsi="Times New Roman" w:cs="Times New Roman"/>
                <w:sz w:val="20"/>
                <w:szCs w:val="20"/>
              </w:rPr>
            </w:pPr>
            <w:r w:rsidRPr="006E1E50">
              <w:rPr>
                <w:rFonts w:ascii="Times New Roman" w:hAnsi="Times New Roman" w:cs="Times New Roman"/>
                <w:sz w:val="20"/>
                <w:szCs w:val="20"/>
              </w:rPr>
              <w:t>Позиция – количество ценных бумаг и денежных средств Клиента, за счет которых в текущий момент может быть произведено урегулирование сделок в ТС или группе ТС.</w:t>
            </w:r>
          </w:p>
        </w:tc>
        <w:tc>
          <w:tcPr>
            <w:tcW w:w="5386" w:type="dxa"/>
          </w:tcPr>
          <w:p w:rsidR="006B0B72" w:rsidRPr="006A2159" w:rsidRDefault="006E1E50" w:rsidP="006B0B72">
            <w:pPr>
              <w:tabs>
                <w:tab w:val="left" w:pos="1605"/>
              </w:tabs>
              <w:jc w:val="both"/>
              <w:rPr>
                <w:rFonts w:ascii="Times New Roman" w:hAnsi="Times New Roman" w:cs="Times New Roman"/>
                <w:sz w:val="20"/>
                <w:szCs w:val="20"/>
              </w:rPr>
            </w:pPr>
            <w:r w:rsidRPr="006E1E50">
              <w:rPr>
                <w:rFonts w:ascii="Times New Roman" w:hAnsi="Times New Roman" w:cs="Times New Roman"/>
                <w:sz w:val="20"/>
                <w:szCs w:val="20"/>
              </w:rPr>
              <w:t>Позиция – количество ценных бумаг, денежных средств, драгоценных металлов Клиента, за счет которых в текущий момент может быть произведено урегулирование сделок в ТС или группе ТС.</w:t>
            </w:r>
          </w:p>
        </w:tc>
      </w:tr>
      <w:tr w:rsidR="006B0B72" w:rsidRPr="00EB0CBA" w:rsidTr="00B24A1C">
        <w:tc>
          <w:tcPr>
            <w:tcW w:w="581" w:type="dxa"/>
          </w:tcPr>
          <w:p w:rsidR="006B0B72" w:rsidRPr="00EB0CBA" w:rsidRDefault="008158EE" w:rsidP="006B0B72">
            <w:pPr>
              <w:rPr>
                <w:rFonts w:ascii="Times New Roman" w:hAnsi="Times New Roman" w:cs="Times New Roman"/>
                <w:sz w:val="20"/>
                <w:szCs w:val="20"/>
              </w:rPr>
            </w:pPr>
            <w:r>
              <w:rPr>
                <w:rFonts w:ascii="Times New Roman" w:hAnsi="Times New Roman" w:cs="Times New Roman"/>
                <w:sz w:val="20"/>
                <w:szCs w:val="20"/>
              </w:rPr>
              <w:t>5.</w:t>
            </w:r>
          </w:p>
        </w:tc>
        <w:tc>
          <w:tcPr>
            <w:tcW w:w="2219" w:type="dxa"/>
          </w:tcPr>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6B0B72" w:rsidRDefault="00B84110" w:rsidP="00B84110">
            <w:pPr>
              <w:rPr>
                <w:rFonts w:ascii="Times New Roman" w:hAnsi="Times New Roman" w:cs="Times New Roman"/>
                <w:sz w:val="20"/>
                <w:szCs w:val="20"/>
              </w:rPr>
            </w:pPr>
            <w:r w:rsidRPr="00B84110">
              <w:rPr>
                <w:rFonts w:ascii="Times New Roman" w:hAnsi="Times New Roman" w:cs="Times New Roman"/>
                <w:sz w:val="20"/>
                <w:szCs w:val="20"/>
              </w:rPr>
              <w:t>7.</w:t>
            </w:r>
            <w:r>
              <w:rPr>
                <w:rFonts w:ascii="Times New Roman" w:hAnsi="Times New Roman" w:cs="Times New Roman"/>
                <w:sz w:val="20"/>
                <w:szCs w:val="20"/>
              </w:rPr>
              <w:t xml:space="preserve"> </w:t>
            </w:r>
            <w:r w:rsidRPr="00B84110">
              <w:rPr>
                <w:rFonts w:ascii="Times New Roman" w:hAnsi="Times New Roman" w:cs="Times New Roman"/>
                <w:sz w:val="20"/>
                <w:szCs w:val="20"/>
              </w:rPr>
              <w:t>ОСОБЕННОСТИ СОВЕРШЕНИЯ СРОЧНЫХ СДЕЛОК</w:t>
            </w:r>
          </w:p>
        </w:tc>
        <w:tc>
          <w:tcPr>
            <w:tcW w:w="5063" w:type="dxa"/>
          </w:tcPr>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w:t>
            </w:r>
            <w:r w:rsidRPr="00B84110">
              <w:rPr>
                <w:rFonts w:ascii="Times New Roman" w:hAnsi="Times New Roman" w:cs="Times New Roman"/>
                <w:sz w:val="20"/>
                <w:szCs w:val="20"/>
              </w:rPr>
              <w:tab/>
              <w:t>ОСОБЕННОСТИ СОВЕРШЕНИЯ СРОЧНЫХ СДЕЛОК</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w:t>
            </w:r>
            <w:r w:rsidRPr="00B84110">
              <w:rPr>
                <w:rFonts w:ascii="Times New Roman" w:hAnsi="Times New Roman" w:cs="Times New Roman"/>
                <w:sz w:val="20"/>
                <w:szCs w:val="20"/>
              </w:rPr>
              <w:tab/>
              <w:t xml:space="preserve">На момент подачи Поручения на совершение Срочных сделок, либо Уведомления на исполнение Фьючерса или Опциона Клиент обязан обеспечить наличие на Брокерском счете денежных средств, зарезервированных для совершения Срочных сделок в ТС, в размере Гарантийного обеспечения Клиента по всем Открытым позициям Клиента по Срочным сделкам и тем Позициям Клиента по Срочным сделкам, которые будут открыты в результате исполнения Банком указанного Поручения на совершение Срочных </w:t>
            </w:r>
            <w:r w:rsidRPr="00B84110">
              <w:rPr>
                <w:rFonts w:ascii="Times New Roman" w:hAnsi="Times New Roman" w:cs="Times New Roman"/>
                <w:sz w:val="20"/>
                <w:szCs w:val="20"/>
              </w:rPr>
              <w:lastRenderedPageBreak/>
              <w:t>сделок, либо Уведомления на исполнение Фьючерса или Опциона. В случае подачи Поручения на покупку Опциона Клиенту необходимо иметь на Брокерском счете денежные средства для уплаты премии по Опциону в соответствии со спецификацией Опциона.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7.2.</w:t>
            </w:r>
            <w:r w:rsidRPr="00B84110">
              <w:rPr>
                <w:rFonts w:ascii="Times New Roman" w:hAnsi="Times New Roman" w:cs="Times New Roman"/>
                <w:sz w:val="20"/>
                <w:szCs w:val="20"/>
              </w:rPr>
              <w:tab/>
              <w:t>Клиент обязан постоянно поддерживать наличие на Брокерском счете денежных средств, зарезервированных для совершения Срочных Сделок в ТС, в размере не меньшем размера Гарантийного обеспечения Клиента по всем Открытым позициям Клиента по Срочным сделкам.</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7.3.</w:t>
            </w:r>
            <w:r w:rsidRPr="00B84110">
              <w:rPr>
                <w:rFonts w:ascii="Times New Roman" w:hAnsi="Times New Roman" w:cs="Times New Roman"/>
                <w:sz w:val="20"/>
                <w:szCs w:val="20"/>
              </w:rPr>
              <w:tab/>
              <w:t>В случае невыполнения пункта 7.2 и недостатке средств Гарантийного обеспечения под открытие позиции Клиент не позднее 13 часов 00 минут московского времени дня, следующего за днем возникновения обязательств Клиента перед Банком по пополнению счета, пополняет свой брокерский счет. В случае не передачи Клиентом Банку денежных средств в указанные сроки, на следующий рабочий день после неисполнения требования, с Клиента взыскивается комиссия согласно тарифам Банка, при этом Банк имеет право закрыть любые позиции Клиента по своему усмотрению.</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7.4.</w:t>
            </w:r>
            <w:r w:rsidRPr="00B84110">
              <w:rPr>
                <w:rFonts w:ascii="Times New Roman" w:hAnsi="Times New Roman" w:cs="Times New Roman"/>
                <w:sz w:val="20"/>
                <w:szCs w:val="20"/>
              </w:rPr>
              <w:tab/>
              <w:t>Банк вправе не исполнять Поручения Клиента на совершение Срочных сделок, либо Поручения на исполнение Опциона в следующих случаях:</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при недостаточности денежных средств на Брокерском счете Клиента, зарезервированных для совершения Срочных Сделок,</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в иных предусмотренных Регламентом случаях, предоставляющих право Банку отказать Клиенту в исполнении поручений Клиента.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7.5.</w:t>
            </w:r>
            <w:r w:rsidRPr="00B84110">
              <w:rPr>
                <w:rFonts w:ascii="Times New Roman" w:hAnsi="Times New Roman" w:cs="Times New Roman"/>
                <w:sz w:val="20"/>
                <w:szCs w:val="20"/>
              </w:rPr>
              <w:tab/>
              <w:t>Банк вправе не исполнять поручения Клиента на перечисление денежных средств, а также на зачисление и перераспределение денежных средств, если исполнение данных поручений Клиента приведет к тому, что размер денежных средств, зарезервированных для совершения Срочных сделок в ТС, будет ниже размера Гарантийного обеспечения Клиента по всем Открытым позициям Клиента по Срочным сделкам.</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7.6.</w:t>
            </w:r>
            <w:r w:rsidRPr="00B84110">
              <w:rPr>
                <w:rFonts w:ascii="Times New Roman" w:hAnsi="Times New Roman" w:cs="Times New Roman"/>
                <w:sz w:val="20"/>
                <w:szCs w:val="20"/>
              </w:rPr>
              <w:tab/>
              <w:t xml:space="preserve">Если Гарантийное обеспечение Клиента стало меньше 50 % от требуемого Гарантийного обеспечения по открытой позиции, Банк вправе без предварительного уведомления принудительно закрыть </w:t>
            </w:r>
            <w:r w:rsidRPr="00B84110">
              <w:rPr>
                <w:rFonts w:ascii="Times New Roman" w:hAnsi="Times New Roman" w:cs="Times New Roman"/>
                <w:sz w:val="20"/>
                <w:szCs w:val="20"/>
              </w:rPr>
              <w:lastRenderedPageBreak/>
              <w:t>соответствующие позиции Клиента в соответствии с пунктом 7.8 Регламента до требуемого уровня Гарантийного обеспечения. При этом Банк имеет право закрыть позиции Клиента независимо от того, как изменялись цены после наступления вышеуказанного обстоятельства. При этом на Банк не может быть возложена какая-либо ответственность, если в результате совершения им предусмотренных данным пунктом действий Клиенту будут причинены какие-либо убытки.</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7.7.</w:t>
            </w:r>
            <w:r w:rsidRPr="00B84110">
              <w:rPr>
                <w:rFonts w:ascii="Times New Roman" w:hAnsi="Times New Roman" w:cs="Times New Roman"/>
                <w:sz w:val="20"/>
                <w:szCs w:val="20"/>
              </w:rPr>
              <w:tab/>
              <w:t>Действия, указанные в пункте 7.6. Регламента, должны быть осуществлены:</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 до окончания основной торговой сессии проведения организованных торгов в ТС Срочный рынок Московской биржи в день, в который наступило указанное обстоятельство (если обстоятельство наступило до ограничительного времени);</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 не позднее ограничительного времени следующей Торговой сессии в ТС Срочный рынок Московской биржи (если указанное обстоятельство наступило после ограничительного времени).</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7.8.</w:t>
            </w:r>
            <w:r w:rsidRPr="00B84110">
              <w:rPr>
                <w:rFonts w:ascii="Times New Roman" w:hAnsi="Times New Roman" w:cs="Times New Roman"/>
                <w:sz w:val="20"/>
                <w:szCs w:val="20"/>
              </w:rPr>
              <w:tab/>
              <w:t>В случаях, установленных данным Регламентом, Банк вправе по своему усмотрению закрыть все или часть Открытых позиций Клиента в принудительном порядке без предварительного уведомления Клиента. Принудительное закрытие позиций производится по текущим (на момент закрытия позиции) ценам на бирже.</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Банк имеет право снять часть или все Активные поручения Клиента до или в период совершения действий, предусмотренных данным пунктом Регламента.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Все риски, которые могут возникнуть у Клиента в результате такого закрытия позиций, ложатся на Клиента. Банк не возмещает Клиенту убытки, которые могут возникнуть в результате такого закрытия позиций. В случае если высвободившихся после закрытия всех позиций Клиента средств недостаточно для полного погашения имеющейся задолженности Клиента, Клиент должен на следующий рабочий день после закрытия позиций перечислить недостающую сумму на свой брокерский счет. В случае нарушения сроков, Клиент выплачивает Банку комиссию согласно тарифам Банка.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lastRenderedPageBreak/>
              <w:t>7.9.</w:t>
            </w:r>
            <w:r w:rsidRPr="00B84110">
              <w:rPr>
                <w:rFonts w:ascii="Times New Roman" w:hAnsi="Times New Roman" w:cs="Times New Roman"/>
                <w:sz w:val="20"/>
                <w:szCs w:val="20"/>
              </w:rPr>
              <w:tab/>
              <w:t>Банк на основании отчета Клирингового центра без уведомления Клиента производит зачисление/ списание Вариационной маржи, Премий по Опционам на/ с Брокерского счета, увеличивая/ уменьшая остаток денежных средств на Брокерском счете, зарезервированных для совершения Срочных сделок в ТС.</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7.10.</w:t>
            </w:r>
            <w:r w:rsidRPr="00B84110">
              <w:rPr>
                <w:rFonts w:ascii="Times New Roman" w:hAnsi="Times New Roman" w:cs="Times New Roman"/>
                <w:sz w:val="20"/>
                <w:szCs w:val="20"/>
              </w:rPr>
              <w:tab/>
              <w:t>Стороны соглашаются и признают, что заключение Банком по Поручению Клиента Поставочных фьючерсных контрактов и опционных контрактов на такие фьючерсные контракты (далее также — Поставочные контракты) в рамках данного Регламента производится исключительно при условии, что Клиент совершит следующие действия:</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7.10.1.</w:t>
            </w:r>
            <w:r w:rsidRPr="00B84110">
              <w:rPr>
                <w:rFonts w:ascii="Times New Roman" w:hAnsi="Times New Roman" w:cs="Times New Roman"/>
                <w:sz w:val="20"/>
                <w:szCs w:val="20"/>
              </w:rPr>
              <w:tab/>
              <w:t>не позднее начала дня, в который обращение Поставочного контракта в соответствии с Правилами ТС должно быть завершено, обеспечить:</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наличие Ценных бумаг на разделе «Торговый» Торгового счета депо в количестве, необходимом для поставки (в случае, если заключен Поставочный контракт на продажу Ценных бумаг);</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наличие денежных средств на Брокерском счете (раздел, предназначенный для расчетов в ТС Фондовый рынок Московской биржи) в размере, достаточном для оплаты Ценных бумаг (в случае, если заключен Поставочный контракт на покупку Ценных бумаг);</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7.11.</w:t>
            </w:r>
            <w:r w:rsidRPr="00B84110">
              <w:rPr>
                <w:rFonts w:ascii="Times New Roman" w:hAnsi="Times New Roman" w:cs="Times New Roman"/>
                <w:sz w:val="20"/>
                <w:szCs w:val="20"/>
              </w:rPr>
              <w:tab/>
              <w:t>В случае если Клиент надлежащим образом исполнит свои обязанности, указанные в пункте 7.10 Регламента, Банк в соответствии с Правилами ТС прекращает обязательства по Поставочному контракту и заключает в интересах Клиента на следующий торговый день Сделку купли-продажи Ценных бумаг в ТС Фондового Рынка Московской Биржи на следующих условиях:</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Сделка заключается в отношении Ценных бумаг, являющихся базовым активом Поставочного контракта;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количество Ценных бумаг по сделке равно количеству Ценных бумаг, которые должны быть поставлены по Поставочному контракту;</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цена одной Ценной бумаги по Сделке и срок исполнения обязательств по Сделке определяются в соответствии с Правилами ТС,</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 xml:space="preserve">направление Сделки (купля/ продажа) соответствует тому, какой стороной в Поставочном </w:t>
            </w:r>
            <w:r w:rsidRPr="00B84110">
              <w:rPr>
                <w:rFonts w:ascii="Times New Roman" w:hAnsi="Times New Roman" w:cs="Times New Roman"/>
                <w:sz w:val="20"/>
                <w:szCs w:val="20"/>
              </w:rPr>
              <w:lastRenderedPageBreak/>
              <w:t>контракте, заключенном по поручению Клиента, являлся Банк (покупка, если Банк являлся покупателем по Поставочному фьючерсному контракту или покупателем Опциона колл или продавцом Опциона пут; продажа, если Банк являлся продавцом по Поставочному фьючерсному контракту или продавцом Опциона колл или покупателем Опциона пут).</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Уведомление об исполнении Поставочного контракта является поручением Клиента на заключение сделки в ТС Фондовый рынок Московской биржи на вышеуказанных условиях.</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7.12.</w:t>
            </w:r>
            <w:r w:rsidRPr="00B84110">
              <w:rPr>
                <w:rFonts w:ascii="Times New Roman" w:hAnsi="Times New Roman" w:cs="Times New Roman"/>
                <w:sz w:val="20"/>
                <w:szCs w:val="20"/>
              </w:rPr>
              <w:tab/>
              <w:t>Заключение и исполнение сделки, заключенной Банком в ТС Фондовый рынок Московской биржи в Режиме торгов Т+1 в соответствии с пунктом 7.11 Регламента, осуществляется в соответствии с Правилами ТС. Урегулирование таких Сделок происходит за счет денежных средств, находящихся на Брокерском счете Клиента и учитываемых для целей расчетов в ТС Фондовый рынок Московской биржи, и Ценных бумаг, права на которые учитываются на Счетах/разделах счетов депо. При этом денежные средства, поступившие Клиенту от продажи Ценных бумаг в ТС Фондовый рынок Московской биржи, зачисляются на Брокерский счет Клиента и учитываются для целей расчета в ТС Фондовый рынок Московской биржи.</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7.13.</w:t>
            </w:r>
            <w:r w:rsidRPr="00B84110">
              <w:rPr>
                <w:rFonts w:ascii="Times New Roman" w:hAnsi="Times New Roman" w:cs="Times New Roman"/>
                <w:sz w:val="20"/>
                <w:szCs w:val="20"/>
              </w:rPr>
              <w:tab/>
              <w:t>При неисполнении Клиентом обязанностей, установленных пунктом 7.10 Регламента, а также в случае, если заключение Сделки в ТС Фондовый рынок Московской биржи в Режиме торгов Т+1 с Ценными бумагами, являющимися базовым активом по Поставочному контракту, невозможно, Банк вправе произвести Закрытие позиции по Поставочному контракту путем совершения Офсетной Сделки.</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7.14.</w:t>
            </w:r>
            <w:r w:rsidRPr="00B84110">
              <w:rPr>
                <w:rFonts w:ascii="Times New Roman" w:hAnsi="Times New Roman" w:cs="Times New Roman"/>
                <w:sz w:val="20"/>
                <w:szCs w:val="20"/>
              </w:rPr>
              <w:tab/>
              <w:t xml:space="preserve">В случае недостаточности Активов Клиента для исполнения обязательств по Сделке, заключенной в ТС Фондовый рынок Московской биржи в Режиме торгов Т+1 Банк вправе произвести закрытие позиции клиента в ТС Фондовый рынок Московской биржи любым способом на свое усмотрение, в том числе путем совершения в ТС Фондовый рынок Московской биржи или в другой ТС Сделки, влекущей за собой прекращение прав и обязанностей Клиента по ранее заключенной в ТС Фондовый рынок Московской биржи </w:t>
            </w:r>
            <w:r w:rsidRPr="00B84110">
              <w:rPr>
                <w:rFonts w:ascii="Times New Roman" w:hAnsi="Times New Roman" w:cs="Times New Roman"/>
                <w:sz w:val="20"/>
                <w:szCs w:val="20"/>
              </w:rPr>
              <w:lastRenderedPageBreak/>
              <w:t>Сделке в связи с возникновением противоположной позиции по новой Сделке или совокупности Сделок. Сделки, заключенные Банком для целей закрытия позиции Клиента по Сделке, заключенной в ТС Фондовый рынок Московской биржи, считаются заключенными Банком по поручению и за счет Клиента.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7.15.</w:t>
            </w:r>
            <w:r w:rsidRPr="00B84110">
              <w:rPr>
                <w:rFonts w:ascii="Times New Roman" w:hAnsi="Times New Roman" w:cs="Times New Roman"/>
                <w:sz w:val="20"/>
                <w:szCs w:val="20"/>
              </w:rPr>
              <w:tab/>
              <w:t xml:space="preserve">Клиент обязан обеспечить наличие на Брокерском счете денежных средств в размере, достаточном для внесения Гарантийного обеспечения для Позиции по Фьючерсному контракту, открываемой в результате исполнения Опциона, и их резервирование в ТС. </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7.16.</w:t>
            </w:r>
            <w:r w:rsidRPr="00B84110">
              <w:rPr>
                <w:rFonts w:ascii="Times New Roman" w:hAnsi="Times New Roman" w:cs="Times New Roman"/>
                <w:sz w:val="20"/>
                <w:szCs w:val="20"/>
              </w:rPr>
              <w:tab/>
              <w:t>Исполнение Опционов, по которым Клиент является Подписчиком, осуществляется в порядке, установленном Правилами ТС и Правилами клиринга без дополнительного поручения Клиента.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7.17.</w:t>
            </w:r>
            <w:r w:rsidRPr="00B84110">
              <w:rPr>
                <w:rFonts w:ascii="Times New Roman" w:hAnsi="Times New Roman" w:cs="Times New Roman"/>
                <w:sz w:val="20"/>
                <w:szCs w:val="20"/>
              </w:rPr>
              <w:tab/>
              <w:t>Положения Регламента, определяющие порядок и условия взаимодействия Банка и Клиента при совершении Сделок и иных операций с Ценными бумагами и денежными средствами Клиента, применяются соответственно к порядку и условиям взаимодействия Банка и Клиента при совершении Срочных Сделок и операций, с ними связанных, если иное не установлено данным разделом Регламента, и такие положения Регламента не являются несовместимыми с природой Срочных Сделок и операций, с ними связанных. Среди прочих, применению подлежат следующие положения Регламента: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Брокерском счете и Счетах депо Клиента;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об уполномоченных представителях Клиента;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способах и порядке направления Поручений и обмена Сообщениями;</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регистрации Клиента в Торговой системе;</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зачислении денежных средств на Брокерский счет, перечислении денежных средств с Брокерского счета, переводах денежных средств между Торговыми системами;</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поручениях Клиента и об исполнении Поручений Клиента, отказе в принятии и/или исполнении Поручений Клиента;</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вознаграждении Банка и оплате расходов;</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об ответственности Сторон и обстоятельствах непреодолимой силы;</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об отчетности Банка и о раскрытии информации;</w:t>
            </w:r>
          </w:p>
          <w:p w:rsidR="00B84110" w:rsidRPr="00B84110"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lastRenderedPageBreak/>
              <w:t>-</w:t>
            </w:r>
            <w:r w:rsidRPr="00B84110">
              <w:rPr>
                <w:rFonts w:ascii="Times New Roman" w:hAnsi="Times New Roman" w:cs="Times New Roman"/>
                <w:sz w:val="20"/>
                <w:szCs w:val="20"/>
              </w:rPr>
              <w:tab/>
              <w:t>о конфиденциальности.</w:t>
            </w:r>
          </w:p>
          <w:p w:rsidR="006B0B72" w:rsidRDefault="00B84110" w:rsidP="00B84110">
            <w:pPr>
              <w:tabs>
                <w:tab w:val="left" w:pos="414"/>
              </w:tabs>
              <w:rPr>
                <w:rFonts w:ascii="Times New Roman" w:hAnsi="Times New Roman" w:cs="Times New Roman"/>
                <w:sz w:val="20"/>
                <w:szCs w:val="20"/>
              </w:rPr>
            </w:pPr>
            <w:r w:rsidRPr="00B84110">
              <w:rPr>
                <w:rFonts w:ascii="Times New Roman" w:hAnsi="Times New Roman" w:cs="Times New Roman"/>
                <w:sz w:val="20"/>
                <w:szCs w:val="20"/>
              </w:rPr>
              <w:t>7.18.</w:t>
            </w:r>
            <w:r w:rsidRPr="00B84110">
              <w:rPr>
                <w:rFonts w:ascii="Times New Roman" w:hAnsi="Times New Roman" w:cs="Times New Roman"/>
                <w:sz w:val="20"/>
                <w:szCs w:val="20"/>
              </w:rPr>
              <w:tab/>
              <w:t>Банк вправе по своему усмотрению в одностороннем порядке изменять размер Гарантийного обеспечения по Срочным Сделкам.</w:t>
            </w:r>
          </w:p>
        </w:tc>
        <w:tc>
          <w:tcPr>
            <w:tcW w:w="5386" w:type="dxa"/>
          </w:tcPr>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lastRenderedPageBreak/>
              <w:t>7.</w:t>
            </w:r>
            <w:r w:rsidRPr="00B84110">
              <w:rPr>
                <w:rFonts w:ascii="Times New Roman" w:hAnsi="Times New Roman" w:cs="Times New Roman"/>
                <w:sz w:val="20"/>
                <w:szCs w:val="20"/>
              </w:rPr>
              <w:tab/>
              <w:t>ОСОБЕННОСТИ СОВЕРШЕНИЯ СРОЧНЫХ СДЕЛОК</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w:t>
            </w:r>
            <w:r w:rsidRPr="00B84110">
              <w:rPr>
                <w:rFonts w:ascii="Times New Roman" w:hAnsi="Times New Roman" w:cs="Times New Roman"/>
                <w:sz w:val="20"/>
                <w:szCs w:val="20"/>
              </w:rPr>
              <w:tab/>
              <w:t xml:space="preserve">На момент подачи Поручения на совершение Срочных сделок, либо Уведомления на исполнение Фьючерса или Опциона, Клиент обязан обеспечить наличие на Брокерском счете денежных средств, зарезервированных для совершения Срочных сделок в ТС, в размере Гарантийного обеспечения Клиента по всем Открытым позициям Клиента по Срочным сделкам и тем Позициям Клиента по Срочным сделкам, которые будут открыты в результате исполнения Банком указанного Поручения на совершение Срочных сделок, либо Уведомления на исполнение Фьючерса или Опциона. В случае подачи Поручения на покупку Опциона </w:t>
            </w:r>
            <w:r w:rsidRPr="00B84110">
              <w:rPr>
                <w:rFonts w:ascii="Times New Roman" w:hAnsi="Times New Roman" w:cs="Times New Roman"/>
                <w:sz w:val="20"/>
                <w:szCs w:val="20"/>
              </w:rPr>
              <w:lastRenderedPageBreak/>
              <w:t>Клиенту необходимо иметь на Брокерском счете денежные средства для уплаты премии по Опциону в соответствии со спецификацией Опциона. При этом размер Гарантийного обеспечения определяется исходя из категории риска Клиента, к которой отнесен Клиент в соответствии с п. 10.6 Регламента.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7.2. Банк оставляет за собой исключительное право самостоятельно принимать решение о приеме, отклонении или частичном исполнении Поручения Клиента на совершение Срочных сделок. Клиент соглашается с тем, что Банк имеет право частично исполнить любое Поручение клиента, исполнение которого может привести к возникновению и/или увеличению Открытой позиции по Срочным сделкам.</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Банк проводит тестирование клиентов-физических лиц, не являющихся квалифицированными инвесторами, в отношении определенных видов сделок (договоров), до исполнения поручения Клиента-физического лица на совершение (заключение) сделок (договоров), требующих проведения тестирования.</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7.3.</w:t>
            </w:r>
            <w:r w:rsidRPr="00B84110">
              <w:rPr>
                <w:rFonts w:ascii="Times New Roman" w:hAnsi="Times New Roman" w:cs="Times New Roman"/>
                <w:sz w:val="20"/>
                <w:szCs w:val="20"/>
              </w:rPr>
              <w:tab/>
              <w:t>Банк вправе не исполнять Неторговые поручения Клиента на перечисление денежных средств, а также на зачисление и перераспределение денежных средств, если исполнение данных поручений Клиента приведет к тому, что стоимость Портфеля клиента будет ниже соответствующего ему размера Начальной маржи.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7.4.</w:t>
            </w:r>
            <w:r w:rsidRPr="00B84110">
              <w:rPr>
                <w:rFonts w:ascii="Times New Roman" w:hAnsi="Times New Roman" w:cs="Times New Roman"/>
                <w:sz w:val="20"/>
                <w:szCs w:val="20"/>
              </w:rPr>
              <w:tab/>
              <w:t>Клиент обязан постоянно поддерживать наличие на Брокерском счете денежных средств, зарезервированных для совершения Срочных Сделок в ТС, в размере не меньшем размера Гарантийного обеспечения Клиента по всем Открытым позициям Клиента по Срочным сделкам.</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7.5.</w:t>
            </w:r>
            <w:r w:rsidRPr="00B84110">
              <w:rPr>
                <w:rFonts w:ascii="Times New Roman" w:hAnsi="Times New Roman" w:cs="Times New Roman"/>
                <w:sz w:val="20"/>
                <w:szCs w:val="20"/>
              </w:rPr>
              <w:tab/>
              <w:t>В случае невыполнения пункта 7.4 и недостатке средств Гарантийного обеспечения под открытие позиции Клиент не позднее 13 часов 00 минут московского времени дня, следующего за днем возникновения обязательств Клиента перед Банком по пополнению счета, пополняет свой брокерский счет. В случае не передачи Клиентом Банку денежных средств в указанные сроки, на следующий рабочий день после неисполнения требования, с Клиента взыскивается комиссия согласно тарифам Банка.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xml:space="preserve">7.6. 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w:t>
            </w:r>
            <w:r w:rsidRPr="00B84110">
              <w:rPr>
                <w:rFonts w:ascii="Times New Roman" w:hAnsi="Times New Roman" w:cs="Times New Roman"/>
                <w:sz w:val="20"/>
                <w:szCs w:val="20"/>
              </w:rPr>
              <w:lastRenderedPageBreak/>
              <w:t>информации через Рабочее место QUIK и/или через Систему ДБО.</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По Портфелям клиентов, в состав которых входят только денежные средства, требования и обязательства из Срочных сделок, показатель M0 (размер Начальной маржи, Приложение к Единым требованиям), рассчитывается в соответствии с пунктом 37 Приложения к Единым требования:</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M0 = ГО x k,</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где:</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ГО - сумма, рассчитываемая по правилам расчета размера индивидуального клирингового обеспечения, требуемого для обеспечения обязательств, исполнение которых осуществляется за счет Портфеля клиента, с учетом риска обесценения имущества, включенного в состав указанного Портфеля, и положений подпункта 38.4 пункта 38 Приложения к Единым требования;</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k - коэффициент, определяется Банком самостоятельно в отношении различных категорий Клиентов, может изменяться им в любое время, но при этом не может быть ниже коэффициента, определенного в соответствии с требованиями Приложения к Единым требованиям.</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Значения ГО и k предоставляются Клиенту для ознакомления в Рабочем месте QUIK и/или через Систему ДБО.</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xml:space="preserve">7.7. Уровень Начальной маржи в случаях, установленных Едиными требованиями, может быть скорректирован. При расчете скорректированного размера Начальной маржи учитывается новое Поручение Клиента, а также его Поручения, которые были приняты Банком к исполнению ранее, но в момент расчета скорректированного размера Начальной маржи не отменены и не исполнены, или не отменены и исполнены не полностью. При этом, в расчете скорректированного размера Начальной маржи учитываются только Поручения Клиента, которые не предусматривают отлагательных условий для их исполнения, а также Поручения Клиента, которые предусматривают отлагательные условия, и на момент расчета скорректированного размера Начальной маржи наступили обстоятельства, от которых в соответствии с </w:t>
            </w:r>
            <w:r w:rsidRPr="00B84110">
              <w:rPr>
                <w:rFonts w:ascii="Times New Roman" w:hAnsi="Times New Roman" w:cs="Times New Roman"/>
                <w:sz w:val="20"/>
                <w:szCs w:val="20"/>
              </w:rPr>
              <w:lastRenderedPageBreak/>
              <w:t>указанными условиями поставлено в зависимость исполнение этих Поручений.</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7.8. Банк предоставляет Клиенту возможность получать доступ к информации о стоимости своего Портфеля, о значениях Начальной маржи и Минимальной маржи через ЭСУД или через Систему ДБО.</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Клиент, имеющий Открытую позицию по Срочным сделкам, обязан:</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течении Торговой сессии самостоятельно получать информацию о стоимости своего Портфеля, размере Начальной маржи, Минимальной маржи для оперативного реагирования на изменение этих показателей;</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самостоятельно знакомиться со Спецификацией Срочной сделки и ее изменениями;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случае, если стоимость Портфеля стала меньше размера Минимальной маржи, закрыть Позицию по Срочным сделкам и/или внести денежные средства в размере достаточном, чтобы разница между стоимостью Портфеля и Минимальной маржой была больше нуля;</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закрыть Позицию по Срочным сделкам по требованию Банка в порядке и сроки, указанные в требовании.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Клиент проинформирован Банком о том, что у Клиента может отсутствовать возможность по закрытию Позиции по Срочным сделкам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Позиции по Срочным сделкам Клиента.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В соответствии с Едиными требованиями Банк вправе не направлять Клиенту оповещение о снижении стоимости Портфеля Клиента ниже размера Начальной маржи в связи с предоставлением Банком Клиенту доступа к информации о текущей стоимости Портфеля клиента, о размере Начальной маржи и о размере Минимальной маржи через ЭСУД или через Систему ДБО.</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7.9. Банк не совершает в отношении Портфеля Клиента действия (в т.ч. не принимает и не исполняет Поручения от Клиента), в результате которых стоимость указанного Портфеля Клиента станет меньше соответствующего ему размера Начальной маржи, или в результате которых положительная разница между размером Начальной маржи и стоимостью Портфеля Клиента увеличится.</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lastRenderedPageBreak/>
              <w:t>Требования настоящего пункта не применяются в случаях, предусмотренных Едиными требованиями, а также в иных случаях, установленных Законодательством и данным Регламентом.</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7.10. Если стоимость Портфеля Клиента стала меньше соответствующего ему размера Минимальной маржи, Банк совершает действия по снижению указанного размера Минимальной маржи и (или) увеличению стоимости Портфеля Клиента (закрытие позиций). Требования данного пункта не применяются, если до начала действий по закрытию Позиций по Срочным сделкам Клиента стоимость Портфеля Клиента превысила размер Минимальной маржи, или если размер Минимальной маржи равен нулю при отрицательной стоимости Портфеля клиента.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Банк имеет право снять часть или все Активные поручения Клиента до или в период совершения действий, предусмотренных данным пунктом Регламента.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7.11. Действия, указанные в пункте 7.10. Регламента, должны быть осуществлены:</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до окончания текущего торгового дня, в который наступило указанное обстоятельство (если стоимость Портфеля стала меньше Минимальной маржи до ограничительного времени);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не позднее ограничительного времени следующего торгового дня (если стоимость Портфеля стала меньше Минимальной маржи после ограничительного времени).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В случае если до закрытия позиций Клиента организованные торги Срочными контрактами были приостановлены и их возобновление произошло после ограничительного времени закрытия позиций, Банк осуществляет закрытие позиций Клиента не позднее ограничительного времени закрытия позиций ближайшего торгового дня, следующего за торговым днем, в котором стоимость Портфеля Клиента стала меньше соответствующего ему размера Минимальной маржи.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7.12. В результате закрытия позиций Клиента, отнесенного к категории с начальным уровнем риска (КНУР) и к категории со стандартным уровнем риска (КСУР), стоимость его Портфеля должна быть не менее размера Начальной маржи, а в результате закрытия позиций Клиента, отнесенного к категории с повышенным уровнем риска (КПУР), стоимость его Портфеля должна быть не менее размера Минимальной маржи.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lastRenderedPageBreak/>
              <w:t>При осуществлении Банком закрытия позиций Клиента до приведения значений стоимости Портфеля Клиента в соответствие с вышеуказанными требованиями допускается увеличение положительного значения разницы между размером Начальной маржи и стоимостью Портфеля Клиента и/или размером Минимальной маржи и стоимостью Портфеля Клиента.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7.13.</w:t>
            </w:r>
            <w:r w:rsidRPr="00B84110">
              <w:rPr>
                <w:rFonts w:ascii="Times New Roman" w:hAnsi="Times New Roman" w:cs="Times New Roman"/>
                <w:sz w:val="20"/>
                <w:szCs w:val="20"/>
              </w:rPr>
              <w:tab/>
              <w:t>Закрытие позиций осуществляется путем заключения сделок купли-продажи с любыми Открытыми позициями по Срочным сделкам Клиента на торгах на основе безадресных заявок.</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Закрытие позиций может осуществляться Банком не на торгах на основе безадресных заявок при соблюдении условий Единых требований.</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Банк вправе выступать в качестве обеих сторон по таким сделкам в случае, если в наличии у Банка будет встречное поручение от другого Клиента на заключение такой сделки.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7.14. Стороны пришли к соглашению о том, что в указанных случаях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Банка.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7.15. Клиент проинформирован Банком о том, что у Банка может отсутствовать возможность по закрытию Позиции по Срочным сделкам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Позиции по Срочным сделкам Клиента.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7.16.</w:t>
            </w:r>
            <w:r w:rsidRPr="00B84110">
              <w:rPr>
                <w:rFonts w:ascii="Times New Roman" w:hAnsi="Times New Roman" w:cs="Times New Roman"/>
                <w:sz w:val="20"/>
                <w:szCs w:val="20"/>
              </w:rPr>
              <w:tab/>
              <w:t>Банк на основании отчета Клирингового центра без уведомления Клиента производит зачисление/списание Вариационной маржи, Премий по Опционам на/с Брокерского счета, увеличивая/уменьшая остаток денежных средств на Брокерском счете, зарезервированных для совершения Срочных сделок в ТС.</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7.17.</w:t>
            </w:r>
            <w:r w:rsidRPr="00B84110">
              <w:rPr>
                <w:rFonts w:ascii="Times New Roman" w:hAnsi="Times New Roman" w:cs="Times New Roman"/>
                <w:sz w:val="20"/>
                <w:szCs w:val="20"/>
              </w:rPr>
              <w:tab/>
              <w:t>Стороны соглашаются и признают, что заключение Банком по Поручению Клиента Поставочных фьючерсных контрактов и опционных контрактов на такие фьючерсные контракты (далее также — Поставочные контракты) в рамках данного Регламента производится исключительно при условии, что Клиент совершит следующие действия:</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lastRenderedPageBreak/>
              <w:t>7.17.1.</w:t>
            </w:r>
            <w:r w:rsidRPr="00B84110">
              <w:rPr>
                <w:rFonts w:ascii="Times New Roman" w:hAnsi="Times New Roman" w:cs="Times New Roman"/>
                <w:sz w:val="20"/>
                <w:szCs w:val="20"/>
              </w:rPr>
              <w:tab/>
              <w:t>не позднее начала дня, в который обращение Поставочного контракта в соответствии с Правилами ТС должно быть завершено, обеспечить:</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наличие Ценных бумаг на разделе «Торговый» Торгового счета депо в количестве, необходимом для поставки (в случае, если заключен Поставочный контракт на продажу Ценных бумаг);</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наличие денежных средств на Брокерском счете (раздел, предназначенный для расчетов в ТС Фондовый рынок Московской биржи) в размере, достаточном для оплаты Ценных бумаг (в случае, если заключен Поставочный контракт на покупку Ценных бумаг).</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7.18.</w:t>
            </w:r>
            <w:r w:rsidRPr="00B84110">
              <w:rPr>
                <w:rFonts w:ascii="Times New Roman" w:hAnsi="Times New Roman" w:cs="Times New Roman"/>
                <w:sz w:val="20"/>
                <w:szCs w:val="20"/>
              </w:rPr>
              <w:tab/>
              <w:t>В случае если Клиент надлежащим образом исполнит свои обязанности, указанные в пункте 7.17. Регламента, Банк в соответствии с Правилами ТС прекращает обязательства по Поставочному контракту и заключает в интересах Клиента на следующий торговый день Сделку купли-продажи Ценных бумаг в ТС Фондового Рынка Московской Биржи на следующих условиях:</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Сделка заключается в отношении Ценных бумаг, являющихся базовым активом Поставочного контракта;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количество Ценных бумаг по сделке равно количеству Ценных бумаг, которые должны быть поставлены по Поставочному контракту;</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цена одной Ценной бумаги по Сделке и срок исполнения обязательств по Сделке определяются в соответствии с Правилами ТС,</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направление Сделки (купля/продажа) соответствует тому, какой стороной в Поставочном контракте, заключенном по поручению Клиента, являлся Банк (покупка, если Банк являлся покупателем по Поставочному фьючерсному контракту или покупателем Опциона колл или продавцом Опциона пут; продажа, если Банк являлся продавцом по Поставочному фьючерсному контракту или продавцом Опциона колл или покупателем Опциона пут).</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Уведомление об исполнении Поставочного контракта является поручением Клиента на заключение сделки в ТС Фондовый рынок Московской биржи на вышеуказанных условиях.</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7.19.</w:t>
            </w:r>
            <w:r w:rsidRPr="00B84110">
              <w:rPr>
                <w:rFonts w:ascii="Times New Roman" w:hAnsi="Times New Roman" w:cs="Times New Roman"/>
                <w:sz w:val="20"/>
                <w:szCs w:val="20"/>
              </w:rPr>
              <w:tab/>
              <w:t xml:space="preserve">Заключение и исполнение сделки, заключенной Банком в ТС Фондовый рынок Московской биржи в Режиме торгов Т+1 в соответствии с пунктом 7.18 Регламента, осуществляется в соответствии с Правилами ТС. Урегулирование таких Сделок происходит за счет денежных </w:t>
            </w:r>
            <w:r w:rsidRPr="00B84110">
              <w:rPr>
                <w:rFonts w:ascii="Times New Roman" w:hAnsi="Times New Roman" w:cs="Times New Roman"/>
                <w:sz w:val="20"/>
                <w:szCs w:val="20"/>
              </w:rPr>
              <w:lastRenderedPageBreak/>
              <w:t>средств, находящихся на Брокерском счете Клиента и учитываемых для целей расчетов в ТС Фондовый рынок Московской биржи, и Ценных бумаг, права на которые учитываются на Счетах/разделах счетов депо. При этом денежные средства, поступившие Клиенту от продажи Ценных бумаг в ТС Фондовый рынок Московской биржи, зачисляются на Брокерский счет Клиента и учитываются для целей расчета в ТС Фондовый рынок Московской биржи.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7.20.</w:t>
            </w:r>
            <w:r w:rsidRPr="00B84110">
              <w:rPr>
                <w:rFonts w:ascii="Times New Roman" w:hAnsi="Times New Roman" w:cs="Times New Roman"/>
                <w:sz w:val="20"/>
                <w:szCs w:val="20"/>
              </w:rPr>
              <w:tab/>
              <w:t>При неисполнении Клиентом обязанностей, установленных пунктом 7.17 Регламента, а также в случае, если заключение Сделки в ТС Фондовый рынок Московской биржи в Режиме торгов Т+1 с Ценными бумагами, являющимися базовым активом по Поставочному контракту, невозможно, Банк вправе произвести Закрытие позиции по Поставочному контракту путем совершения Офсетной Сделки.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7.21.</w:t>
            </w:r>
            <w:r w:rsidRPr="00B84110">
              <w:rPr>
                <w:rFonts w:ascii="Times New Roman" w:hAnsi="Times New Roman" w:cs="Times New Roman"/>
                <w:sz w:val="20"/>
                <w:szCs w:val="20"/>
              </w:rPr>
              <w:tab/>
              <w:t>В случае недостаточности Активов Клиента для исполнения обязательств по Сделке, заключенной в ТС Фондовый рынок Московской биржи в Режиме торгов Т+1 Банк вправе произвести закрытие позиции клиента в ТС Фондовый рынок Московской биржи любым способом на свое усмотрение, в том числе путем совершения в ТС Фондовый рынок Московской биржи или в другой ТС Сделки, влекущей за собой прекращение прав и обязанностей Клиента по ранее заключенной в ТС Фондовый рынок Московской биржи Сделке в связи с возникновением противоположной позиции по новой Сделке или совокупности Сделок. Сделки, заключенные Банком для целей закрытия позиции Клиента по Сделке, заключенной в ТС Фондовый рынок Московской биржи, считаются заключенными Банком по поручению и за счет Клиента.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7.22.</w:t>
            </w:r>
            <w:r w:rsidRPr="00B84110">
              <w:rPr>
                <w:rFonts w:ascii="Times New Roman" w:hAnsi="Times New Roman" w:cs="Times New Roman"/>
                <w:sz w:val="20"/>
                <w:szCs w:val="20"/>
              </w:rPr>
              <w:tab/>
              <w:t xml:space="preserve">Клиент обязан обеспечить наличие на Брокерском счете денежных средств в размере, достаточном для внесения Гарантийного обеспечения для Позиции по Фьючерсному контракту, открываемой в результате исполнения Опциона, и их резервирование в ТС. </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7.23.</w:t>
            </w:r>
            <w:r w:rsidRPr="00B84110">
              <w:rPr>
                <w:rFonts w:ascii="Times New Roman" w:hAnsi="Times New Roman" w:cs="Times New Roman"/>
                <w:sz w:val="20"/>
                <w:szCs w:val="20"/>
              </w:rPr>
              <w:tab/>
              <w:t>Исполнение Опционов, по которым Клиент является Подписчиком, осуществляется в порядке, установленном Правилами ТС и Правилами клиринга без дополнительного поручения Клиента.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7.24.</w:t>
            </w:r>
            <w:r w:rsidRPr="00B84110">
              <w:rPr>
                <w:rFonts w:ascii="Times New Roman" w:hAnsi="Times New Roman" w:cs="Times New Roman"/>
                <w:sz w:val="20"/>
                <w:szCs w:val="20"/>
              </w:rPr>
              <w:tab/>
              <w:t xml:space="preserve">Положения Регламента, определяющие порядок и условия взаимодействия Банка и Клиента при совершении Сделок и иных операций с Ценными бумагами и денежными </w:t>
            </w:r>
            <w:r w:rsidRPr="00B84110">
              <w:rPr>
                <w:rFonts w:ascii="Times New Roman" w:hAnsi="Times New Roman" w:cs="Times New Roman"/>
                <w:sz w:val="20"/>
                <w:szCs w:val="20"/>
              </w:rPr>
              <w:lastRenderedPageBreak/>
              <w:t>средствами Клиента, применяются соответственно к порядку и условиям взаимодействия Банка и Клиента при совершении Срочных Сделок и операций, с ними связанных, если иное не установлено данным разделом Регламента, и такие положения Регламента не являются несовместимыми с природой Срочных Сделок и операций, с ними связанных. Среди прочих, применению подлежат следующие положения Регламента: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Брокерском счете и Счетах депо Клиента;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об уполномоченных представителях Клиента;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способах и порядке направления Поручений и обмена Сообщениями;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регистрации Клиента в Торговой системе;</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зачислении денежных средств на Брокерский счет, перечислении денежных средств с Брокерского счета, переводах денежных средств между Торговыми системами;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поручениях Клиента и об исполнении Поручений Клиента, отказе в принятии и/или исполнении Поручений Клиента;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вознаграждении Банка и оплате расходов;</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об ответственности Сторон и обстоятельствах непреодолимой силы;</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об отчетности Банка и о раскрытии информации;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w:t>
            </w:r>
            <w:r w:rsidRPr="00B84110">
              <w:rPr>
                <w:rFonts w:ascii="Times New Roman" w:hAnsi="Times New Roman" w:cs="Times New Roman"/>
                <w:sz w:val="20"/>
                <w:szCs w:val="20"/>
              </w:rPr>
              <w:tab/>
              <w:t>о конфиденциальности.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7.25.</w:t>
            </w:r>
            <w:r w:rsidRPr="00B84110">
              <w:rPr>
                <w:rFonts w:ascii="Times New Roman" w:hAnsi="Times New Roman" w:cs="Times New Roman"/>
                <w:sz w:val="20"/>
                <w:szCs w:val="20"/>
              </w:rPr>
              <w:tab/>
              <w:t>Клиент поручает Банку в соответствии с условиями Постоянного поручения, содержащимся в данном разделе Регламента, до окончания текущего Торгового дня закрыть все или часть Открытых позиций по Срочным сделкам Клиента, т.е. совершить в интересах и за счет Клиента Сделки купли-продажи с Открытыми позициями по Срочным сделкам Клиента в следующих случаях:</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случае исключения возможности наличия Открытой позиции по Срочной сделке;</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случае неисполнения Клиентом обязанности по закрытию Позиции по Срочной сделке по требованию Банка;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в случае приостановки (планируемой приостановки) или прекращения (планируемого прекращения) совершения на организованном рынке сделок с Срочным контрактом;</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случае приостановки или прекращения действия регистрации Клиента как клиента Банка по решению Организатора торговли, Расчетной организации ТС или Расчетного депозитария ТС;</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xml:space="preserve">- в случае приостановки или прекращения допуска Банка, действующего от своего имени за счет и поручению </w:t>
            </w:r>
            <w:r w:rsidRPr="00B84110">
              <w:rPr>
                <w:rFonts w:ascii="Times New Roman" w:hAnsi="Times New Roman" w:cs="Times New Roman"/>
                <w:sz w:val="20"/>
                <w:szCs w:val="20"/>
              </w:rPr>
              <w:lastRenderedPageBreak/>
              <w:t>Клиента, к участию в организованных торгах, проводимых Организатором торговли, в части установления запрета Банку как участнику торгов заключать договоры на организованных торгах за счет и по поручению Клиента Банка в системе электронных торгов Организатора торговли, по решению Организатора торговли, Расчетной организации ТС или Расчетного депозитария ТС;</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случае неисполнения или ненадлежащего исполнения Клиентом каких-либо обязательств по Договору;</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случае признания Клиента банкротом;</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случае смерти Клиента, факт наступления которой подтвержден в порядке, предусмотренном Гражданским кодексом Российской Федерации;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случае нарушения Клиентом требований действующего Законодательства, требований уполномоченных органов государственной власти, неисполнения Клиентом решений уполномоченных органов государственной власти;</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случае наступления обстоятельств непреодолимой силы, указанных в п. 17.4 Регламента;</w:t>
            </w:r>
          </w:p>
          <w:p w:rsidR="00B84110" w:rsidRPr="00B84110"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 в иных случаях, предусмотренных действующим Законодательством, Регламентом, Правилами ТС.</w:t>
            </w:r>
          </w:p>
          <w:p w:rsidR="006B0B72" w:rsidRPr="006A2159" w:rsidRDefault="00B84110" w:rsidP="00B84110">
            <w:pPr>
              <w:tabs>
                <w:tab w:val="left" w:pos="317"/>
              </w:tabs>
              <w:jc w:val="both"/>
              <w:rPr>
                <w:rFonts w:ascii="Times New Roman" w:hAnsi="Times New Roman" w:cs="Times New Roman"/>
                <w:sz w:val="20"/>
                <w:szCs w:val="20"/>
              </w:rPr>
            </w:pPr>
            <w:r w:rsidRPr="00B84110">
              <w:rPr>
                <w:rFonts w:ascii="Times New Roman" w:hAnsi="Times New Roman" w:cs="Times New Roman"/>
                <w:sz w:val="20"/>
                <w:szCs w:val="20"/>
              </w:rPr>
              <w:t>Банк имеет право снять часть или все Активные поручения Клиента до или в период совершения действий, предусмотренных данным пунктом Регламента.</w:t>
            </w:r>
          </w:p>
        </w:tc>
      </w:tr>
      <w:tr w:rsidR="006B0B72" w:rsidRPr="000842C1" w:rsidTr="00C873C8">
        <w:tc>
          <w:tcPr>
            <w:tcW w:w="581" w:type="dxa"/>
          </w:tcPr>
          <w:p w:rsidR="006B0B72" w:rsidRDefault="008158EE" w:rsidP="006B0B72">
            <w:pPr>
              <w:rPr>
                <w:rFonts w:ascii="Times New Roman" w:hAnsi="Times New Roman" w:cs="Times New Roman"/>
                <w:sz w:val="20"/>
                <w:szCs w:val="20"/>
              </w:rPr>
            </w:pPr>
            <w:r>
              <w:rPr>
                <w:rFonts w:ascii="Times New Roman" w:hAnsi="Times New Roman" w:cs="Times New Roman"/>
                <w:sz w:val="20"/>
                <w:szCs w:val="20"/>
              </w:rPr>
              <w:lastRenderedPageBreak/>
              <w:t>6.</w:t>
            </w:r>
          </w:p>
        </w:tc>
        <w:tc>
          <w:tcPr>
            <w:tcW w:w="2219" w:type="dxa"/>
          </w:tcPr>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6B0B72"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6B0B72" w:rsidRDefault="00B84110" w:rsidP="006B0B72">
            <w:pPr>
              <w:rPr>
                <w:rFonts w:ascii="Times New Roman" w:hAnsi="Times New Roman" w:cs="Times New Roman"/>
                <w:sz w:val="20"/>
                <w:szCs w:val="20"/>
              </w:rPr>
            </w:pPr>
            <w:r w:rsidRPr="00B84110">
              <w:rPr>
                <w:rFonts w:ascii="Times New Roman" w:hAnsi="Times New Roman" w:cs="Times New Roman"/>
                <w:sz w:val="20"/>
                <w:szCs w:val="20"/>
              </w:rPr>
              <w:t>10.4.</w:t>
            </w:r>
            <w:r w:rsidRPr="00B84110">
              <w:rPr>
                <w:rFonts w:ascii="Times New Roman" w:hAnsi="Times New Roman" w:cs="Times New Roman"/>
                <w:sz w:val="20"/>
                <w:szCs w:val="20"/>
              </w:rPr>
              <w:tab/>
              <w:t>КОНТРОЛЬ ЗА РАЗМЕРОМ ПОРТФЕЛЯ КЛИЕНТА И ЕГО СООТВЕТСТВИЯ НАЧАЛЬНОЙ И МИНИМАЛЬНОЙ МАРЖЕ</w:t>
            </w:r>
          </w:p>
        </w:tc>
        <w:tc>
          <w:tcPr>
            <w:tcW w:w="5063" w:type="dxa"/>
          </w:tcPr>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10.4.</w:t>
            </w:r>
            <w:r w:rsidRPr="006B51CF">
              <w:rPr>
                <w:rFonts w:ascii="Times New Roman" w:hAnsi="Times New Roman" w:cs="Times New Roman"/>
                <w:kern w:val="20"/>
                <w:sz w:val="20"/>
                <w:szCs w:val="20"/>
              </w:rPr>
              <w:tab/>
              <w:t>КОНТРОЛЬ ЗА РАЗМЕРОМ ПОРТФЕЛЯ КЛИЕНТА И ЕГО СООТВЕТСТВИЯ НАЧАЛЬНОЙ И МИНИМАЛЬНОЙ МАРЖЕ</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10.4.1.</w:t>
            </w:r>
            <w:r w:rsidRPr="006B51CF">
              <w:rPr>
                <w:rFonts w:ascii="Times New Roman" w:hAnsi="Times New Roman" w:cs="Times New Roman"/>
                <w:kern w:val="20"/>
                <w:sz w:val="20"/>
                <w:szCs w:val="20"/>
              </w:rPr>
              <w:tab/>
              <w:t>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информации через Рабочее место QUIK и/или через Систему ДБО.</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По</w:t>
            </w:r>
            <w:r>
              <w:rPr>
                <w:rFonts w:ascii="Times New Roman" w:hAnsi="Times New Roman" w:cs="Times New Roman"/>
                <w:kern w:val="20"/>
                <w:sz w:val="20"/>
                <w:szCs w:val="20"/>
              </w:rPr>
              <w:t xml:space="preserve">казатель </w:t>
            </w:r>
            <w:r w:rsidRPr="009041EA">
              <w:rPr>
                <w:noProof/>
                <w:lang w:eastAsia="ru-RU"/>
              </w:rPr>
              <w:drawing>
                <wp:inline distT="0" distB="0" distL="0" distR="0" wp14:anchorId="0CEA9C2B" wp14:editId="1F75E2DB">
                  <wp:extent cx="395021" cy="224235"/>
                  <wp:effectExtent l="0" t="0" r="508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38000"/>
                            <a:extLst>
                              <a:ext uri="{28A0092B-C50C-407E-A947-70E740481C1C}">
                                <a14:useLocalDpi xmlns:a14="http://schemas.microsoft.com/office/drawing/2010/main" val="0"/>
                              </a:ext>
                            </a:extLst>
                          </a:blip>
                          <a:srcRect/>
                          <a:stretch>
                            <a:fillRect/>
                          </a:stretch>
                        </pic:blipFill>
                        <pic:spPr bwMode="auto">
                          <a:xfrm>
                            <a:off x="0" y="0"/>
                            <a:ext cx="409001" cy="232171"/>
                          </a:xfrm>
                          <a:prstGeom prst="rect">
                            <a:avLst/>
                          </a:prstGeom>
                          <a:noFill/>
                          <a:ln>
                            <a:noFill/>
                          </a:ln>
                        </pic:spPr>
                      </pic:pic>
                    </a:graphicData>
                  </a:graphic>
                </wp:inline>
              </w:drawing>
            </w:r>
            <w:r>
              <w:rPr>
                <w:rFonts w:ascii="Times New Roman" w:hAnsi="Times New Roman" w:cs="Times New Roman"/>
                <w:kern w:val="20"/>
                <w:sz w:val="20"/>
                <w:szCs w:val="20"/>
              </w:rPr>
              <w:t xml:space="preserve"> </w:t>
            </w:r>
            <w:r w:rsidRPr="006B51CF">
              <w:rPr>
                <w:rFonts w:ascii="Times New Roman" w:hAnsi="Times New Roman" w:cs="Times New Roman"/>
                <w:kern w:val="20"/>
                <w:sz w:val="20"/>
                <w:szCs w:val="20"/>
              </w:rPr>
              <w:t>(п.9 Приложения к Единым требованиям), используемый для расчета Плановых позиций и Портфеля клиента, включает в себя задолженность Клиента перед Банком по выплате вознаграждения и возмещению всех расходов, связанных с осуществлением Банком операций по поручениям и в интересах Клиента;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lastRenderedPageBreak/>
              <w:t>-</w:t>
            </w:r>
            <w:r w:rsidRPr="006B51CF">
              <w:rPr>
                <w:rFonts w:ascii="Times New Roman" w:hAnsi="Times New Roman" w:cs="Times New Roman"/>
                <w:kern w:val="20"/>
                <w:sz w:val="20"/>
                <w:szCs w:val="20"/>
              </w:rPr>
              <w:tab/>
              <w:t xml:space="preserve">При определении показателя </w:t>
            </w:r>
            <w:r w:rsidRPr="009041EA">
              <w:rPr>
                <w:noProof/>
                <w:position w:val="-14"/>
                <w:lang w:eastAsia="ru-RU"/>
              </w:rPr>
              <w:drawing>
                <wp:inline distT="0" distB="0" distL="0" distR="0" wp14:anchorId="10171926" wp14:editId="612C758F">
                  <wp:extent cx="175565" cy="21457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830" cy="217348"/>
                          </a:xfrm>
                          <a:prstGeom prst="rect">
                            <a:avLst/>
                          </a:prstGeom>
                          <a:noFill/>
                          <a:ln>
                            <a:noFill/>
                          </a:ln>
                        </pic:spPr>
                      </pic:pic>
                    </a:graphicData>
                  </a:graphic>
                </wp:inline>
              </w:drawing>
            </w:r>
            <w:r w:rsidRPr="006B51CF">
              <w:rPr>
                <w:rFonts w:ascii="Times New Roman" w:hAnsi="Times New Roman" w:cs="Times New Roman"/>
                <w:kern w:val="20"/>
                <w:sz w:val="20"/>
                <w:szCs w:val="20"/>
              </w:rPr>
              <w:t xml:space="preserve"> (Цена i-го имущества, п.13 Приложения к Единым требованиям), используется информация о цене последней сделки с i-ым имуществом, совершенной на анонимных торгах в ТС ПАО Московская биржа;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Значение ставок риска по Ликвидному имуществу (</w:t>
            </w:r>
            <w:r w:rsidRPr="009041EA">
              <w:rPr>
                <w:noProof/>
                <w:position w:val="-12"/>
                <w:lang w:eastAsia="ru-RU"/>
              </w:rPr>
              <w:drawing>
                <wp:inline distT="0" distB="0" distL="0" distR="0" wp14:anchorId="5524223B" wp14:editId="664226D8">
                  <wp:extent cx="138989" cy="219913"/>
                  <wp:effectExtent l="0" t="0" r="0" b="0"/>
                  <wp:docPr id="11" name="Рисунок 11" descr="base_1_374573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4573_3279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788" cy="222760"/>
                          </a:xfrm>
                          <a:prstGeom prst="rect">
                            <a:avLst/>
                          </a:prstGeom>
                          <a:noFill/>
                          <a:ln>
                            <a:noFill/>
                          </a:ln>
                        </pic:spPr>
                      </pic:pic>
                    </a:graphicData>
                  </a:graphic>
                </wp:inline>
              </w:drawing>
            </w:r>
            <w:r w:rsidRPr="006B51CF">
              <w:rPr>
                <w:rFonts w:ascii="Times New Roman" w:hAnsi="Times New Roman" w:cs="Times New Roman"/>
                <w:kern w:val="20"/>
                <w:sz w:val="20"/>
                <w:szCs w:val="20"/>
              </w:rPr>
              <w:t>,</w:t>
            </w:r>
            <w:r w:rsidRPr="009041EA">
              <w:rPr>
                <w:noProof/>
                <w:position w:val="-12"/>
                <w:lang w:eastAsia="ru-RU"/>
              </w:rPr>
              <w:drawing>
                <wp:inline distT="0" distB="0" distL="0" distR="0" wp14:anchorId="3EAB6E96" wp14:editId="51BE44A3">
                  <wp:extent cx="190195" cy="215493"/>
                  <wp:effectExtent l="0" t="0" r="635" b="0"/>
                  <wp:docPr id="12" name="Рисунок 12" descr="base_1_374573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74573_3279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704" cy="224001"/>
                          </a:xfrm>
                          <a:prstGeom prst="rect">
                            <a:avLst/>
                          </a:prstGeom>
                          <a:noFill/>
                          <a:ln>
                            <a:noFill/>
                          </a:ln>
                        </pic:spPr>
                      </pic:pic>
                    </a:graphicData>
                  </a:graphic>
                </wp:inline>
              </w:drawing>
            </w:r>
            <w:r w:rsidRPr="006B51CF">
              <w:rPr>
                <w:rFonts w:ascii="Times New Roman" w:hAnsi="Times New Roman" w:cs="Times New Roman"/>
                <w:kern w:val="20"/>
                <w:sz w:val="20"/>
                <w:szCs w:val="20"/>
              </w:rPr>
              <w:t>) используемые для расчета Начальной маржи, определяются Банком самостоятельно в отношении различных категорий Клиентов, могут изменяться им в любое время, но при этом не могут быть ниже ставок, определенных в соответствии с требованиями пунктов 15–19 Приложения к Единым требованиям. Банк вправе устанавливать более высокие ставки риска, чем ставки риска, рассчитанные в соответствии с Едиными требованиями. Значения ставок риска по ликвидному имуществу предоставляются Клиенту для ознакомления в Рабочем месте QUIK и/или через Систему ДБО.</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Банк вправе не включать в состав Портфеля Клиента Активы, которые должны поступить в результате исполнения сделок, заключенных на Внебиржевом рынке, а также Неторговых поручений Клиента.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10.4.2.</w:t>
            </w:r>
            <w:r w:rsidRPr="006B51CF">
              <w:rPr>
                <w:rFonts w:ascii="Times New Roman" w:hAnsi="Times New Roman" w:cs="Times New Roman"/>
                <w:kern w:val="20"/>
                <w:sz w:val="20"/>
                <w:szCs w:val="20"/>
              </w:rPr>
              <w:tab/>
              <w:t>Уровень Начальной маржи в случаях, установленных Едиными требованиями, может быть скорректирован. При расчете скорректированного размера Начальной маржи учитывается новое Поручение Клиента, а также его Поручения, которые были приняты Банком к исполнению ранее, но в момент расчета скорректированного размера начальной маржи не отменены и не исполнены, или не отменены и исполнены не полностью. При этом, в расчете скорректированного размера Начальной маржи учитываются только Поручения Клиента, которые не предусматривают отлагательных условий для их исполнения, а также Поручения Клиента, которые предусматривают отлагательные условия, и на момент расчета скорректированного размера Начальной маржи наступили обстоятельства, от которых в соответствии с указанными условиями поставлено в зависимость исполнение этих Поручений.</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lastRenderedPageBreak/>
              <w:t>Порядок расчета скорректированного уровня Начальной маржи осуществляется с учетом пунктов 13 и 14 Единых требований.</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10.4.3.</w:t>
            </w:r>
            <w:r w:rsidRPr="006B51CF">
              <w:rPr>
                <w:rFonts w:ascii="Times New Roman" w:hAnsi="Times New Roman" w:cs="Times New Roman"/>
                <w:kern w:val="20"/>
                <w:sz w:val="20"/>
                <w:szCs w:val="20"/>
              </w:rPr>
              <w:tab/>
              <w:t xml:space="preserve">Банк предоставляет Клиенту возможность в любое время получать доступ к информации о стоимости своего Портфеля, о значениях Начальной маржи и Минимальной маржи через ЭСУД или через Систему ДБО. </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Клиент, имеющий Непокрытую позицию, обязан:</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 в течении Торговой сессии самостоятельно получать информацию о стоимости своего Портфеля, размере Начальной маржи, Минимальной маржи для оперативного реагирования на изменение этих показателей;</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 самостоятельно знакомиться с информацией о списке Ликвидного имущества, его изменениях, условиях, применяемых Банком для совершения Сделок с целью переноса Непокрытых позиций Клиента, а также с Тарифами Банка;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 в случае, если стоимость Портфеля стала меньше размера Минимальной маржи, закрыть Непокрытую позицию и/или внести денежные средства в размере достаточном, чтобы разница между стоимостью Портфеля и Минимальной маржой была больше нуля;</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 закрыть Непокрытую позицию по Активу по требованию Банка в порядке и сроки, указанные в требовании.</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Клиент проинформирован Банком о том, что у Клиента может отсутствовать возможность по закрытию Непокрытой позиции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Непокрытой позиции Клиента.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В соответствии с Едиными требованиями Банк вправе не направлять Клиенту оповещение о снижении стоимости Портфеля Клиента ниже размера Начальной маржи в связи с предоставлением Банком Клиенту защищенного доступа к информации о текущей стоимости Портфеля клиента, о размере Начальной маржи и о размере Минимальной маржи через ЭСУД или через Систему ДБО.</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lastRenderedPageBreak/>
              <w:t>10.4.4.</w:t>
            </w:r>
            <w:r w:rsidRPr="006B51CF">
              <w:rPr>
                <w:rFonts w:ascii="Times New Roman" w:hAnsi="Times New Roman" w:cs="Times New Roman"/>
                <w:kern w:val="20"/>
                <w:sz w:val="20"/>
                <w:szCs w:val="20"/>
              </w:rPr>
              <w:tab/>
              <w:t>Банк не имеет права совершать в отношении Портфеля Клиента действия (в т.ч. принимать и исполнять Поручения от Клиента), в результате которых стоимость указанного Портфеля Клиента станет меньше соответствующего ему размера Начальной маржи, или в результате которых положительная разница между размером Начальной маржи и стоимостью Портфеля Клиента увеличится.</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10.4.5.</w:t>
            </w:r>
            <w:r w:rsidRPr="006B51CF">
              <w:rPr>
                <w:rFonts w:ascii="Times New Roman" w:hAnsi="Times New Roman" w:cs="Times New Roman"/>
                <w:kern w:val="20"/>
                <w:sz w:val="20"/>
                <w:szCs w:val="20"/>
              </w:rPr>
              <w:tab/>
              <w:t>Требования пункта 10.4.4 Регламента не применяются в следующих случаях:</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если отрицательное значение НПР1 или его снижение относительно своего предыдущего отрицательного значения произошло не в результате совершения Банком действий в отношении портфеля клиента;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предусмотренном пунктом 20 Единых требований;</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положительного значения НПР1, определенного Банком в соответствии с пунктом 14 Единых требований на момент принятия поручения клиента, исполнение которого привело к отрицательному значению НПР1, или, если исполнение этого поручения поставлено в зависимость от наступления предусмотренных в нем обстоятельств, - на момент наступления указанных обстоятельств, исходя из плановых позиций в составе портфеля Клиента, скорректированных банком с учетом принятых, но не исполненных к указанному моменту поручений Клиента;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начисления Банком и (или) уплаты за счет Клиента Банка и (или) третьим лицам в связи со сделками, заключенными Банком за счет Клиента, сумм штрафов, пеней, процентов, неустоек, убытков, расходов и вознаграждений по договору на брокерское обслуживание и (или) по договору Банка с Клиентом, предметом которого не является оказание брокерских услуг;</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если за счет имущества Клиента исполняются обязанности Клиента по уплате обязательных платежей, включая случаи исполнения банком обязанностей налогового агента, исполнения решений органов государственной власти;</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заключения Банком за счет Клиента договоров репо;</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lastRenderedPageBreak/>
              <w:t>-</w:t>
            </w:r>
            <w:r w:rsidRPr="006B51CF">
              <w:rPr>
                <w:rFonts w:ascii="Times New Roman" w:hAnsi="Times New Roman" w:cs="Times New Roman"/>
                <w:kern w:val="20"/>
                <w:sz w:val="20"/>
                <w:szCs w:val="20"/>
              </w:rPr>
              <w:tab/>
              <w:t>в случае проведения Банком операций за счет Клиента, связанных с отчуждением (приобретением) иностранной валюты и ее обратным приобретением (отчуждением) Банком;</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удовлетворения клиринговой организацией требований, обеспеченных индивидуальным клиринговым обеспечением, в результате неисполнения или ненадлежащего исполнения Банком обязательств из сделок, совершенных за счет Клиентов;</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исключения Банком ценной бумаги, иностранной валюты, драгоценного металла из перечня Ликвидного имущества;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изменения Банком значений начальной ставки риска и (или) относительной ставки риска изменения цен, предусмотренных пунктами 15 и 16 приложения к Единым требованиям;</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заключения сделки в силу обязанности ее заключения Банком в соответствии с правилами клиринга и (или) в соответствии с условиями фьючерсного договора;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случае принятия Банком поручения Клиента одновременно на совершение двух или более сделок, подлежащих исполнению в один и тот же день, при том что:</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соответствии с поручением Клиента его частичное исполнение не допускается;</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заключение любой из сделок приведет к увеличению размера начальной маржи относительно стоимости портфеля Клиента;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заключение всех сделок, указанных в поручении Клиента, приведет к снижению размера начальной маржи относительно ее первоначального размера;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w:t>
            </w:r>
            <w:r w:rsidRPr="006B51CF">
              <w:rPr>
                <w:rFonts w:ascii="Times New Roman" w:hAnsi="Times New Roman" w:cs="Times New Roman"/>
                <w:kern w:val="20"/>
                <w:sz w:val="20"/>
                <w:szCs w:val="20"/>
              </w:rPr>
              <w:tab/>
              <w:t>в иных случаях, установленных Законодательством и данным Регламентом.</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10.4.6.</w:t>
            </w:r>
            <w:r w:rsidRPr="006B51CF">
              <w:rPr>
                <w:rFonts w:ascii="Times New Roman" w:hAnsi="Times New Roman" w:cs="Times New Roman"/>
                <w:kern w:val="20"/>
                <w:sz w:val="20"/>
                <w:szCs w:val="20"/>
              </w:rPr>
              <w:tab/>
              <w:t xml:space="preserve">Если стоимость Портфеля Клиента стала меньше соответствующего ему размера Минимальной маржи, Банк совершает действия по снижению указанного размера Минимальной маржи и (или) увеличению стоимости Портфеля Клиента (закрытие позиций). Требования данного пункта не применяются, если до начала действий по закрытию позиций клиента стоимость Портфеля этого клиента превысила размер Минимальной маржи, или если размер Минимальной </w:t>
            </w:r>
            <w:r w:rsidRPr="006B51CF">
              <w:rPr>
                <w:rFonts w:ascii="Times New Roman" w:hAnsi="Times New Roman" w:cs="Times New Roman"/>
                <w:kern w:val="20"/>
                <w:sz w:val="20"/>
                <w:szCs w:val="20"/>
              </w:rPr>
              <w:lastRenderedPageBreak/>
              <w:t>маржи равен нулю при отрицательной стоимости Портфеля клиента.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Банк имеет право снять часть или все Активные поручения Клиента до или в период совершения действий, предусмотренных данным пунктом Регламента.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10.4.7.</w:t>
            </w:r>
            <w:r w:rsidRPr="006B51CF">
              <w:rPr>
                <w:rFonts w:ascii="Times New Roman" w:hAnsi="Times New Roman" w:cs="Times New Roman"/>
                <w:kern w:val="20"/>
                <w:sz w:val="20"/>
                <w:szCs w:val="20"/>
              </w:rPr>
              <w:tab/>
              <w:t>Действия, указанные в пункте 10.4.6. Регламента, должны быть осуществлены:</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 до окончания текущего торгового дня, в который наступило указанное обстоятельство (если стоимость Портфеля стала меньше Минимальной маржи до ограничительного времени);</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 не позднее ограничительного времени следующего торгового дня (если стоимость Портфеля стала меньше Минимальной маржи после ограничительного времени).</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10.4.8.</w:t>
            </w:r>
            <w:r w:rsidRPr="006B51CF">
              <w:rPr>
                <w:rFonts w:ascii="Times New Roman" w:hAnsi="Times New Roman" w:cs="Times New Roman"/>
                <w:kern w:val="20"/>
                <w:sz w:val="20"/>
                <w:szCs w:val="20"/>
              </w:rPr>
              <w:tab/>
              <w:t>В результате закрытия позиций клиента, отнесенного к категории со стандартным уровнем риска (КСУР), стоимость его Портфеля должна быть не менее размера Начальной маржи. А в результате закрытия позиций клиента, отнесенного к категории с повышенным уровнем риска (КПУР), стоимость его Портфеля должна быть не менее размера Минимальной маржи.</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При осуществлении Банком закрытия позиций Клиента до приведения значений стоимости Портфеля Клиента в соответствие с вышеуказанными требованиями допускается увеличение положительного значения разницы между размером Начальной маржи и стоимостью Портфеля Клиента и/или размером Минимальной маржи и стоимостью Портфеля Клиента.</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10.4.9.</w:t>
            </w:r>
            <w:r w:rsidRPr="006B51CF">
              <w:rPr>
                <w:rFonts w:ascii="Times New Roman" w:hAnsi="Times New Roman" w:cs="Times New Roman"/>
                <w:kern w:val="20"/>
                <w:sz w:val="20"/>
                <w:szCs w:val="20"/>
              </w:rPr>
              <w:tab/>
              <w:t>Закрытие позиций осуществляется путем заключения сделок купли-продажи с любыми Активами за счет Клиента на анонимных торгах.</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Закрытие позиций может осуществляться Банком не на анонимных торгах в случае соблюдения одного из требований, указанных в пункте 22 Единых требований.</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В случае соблюдения одного из вышеуказанных требований Банк имеет право для целей закрытия позиций Клиента заключать сделки как в ТС, так и на Внебиржевом рынке, причем Банк вправе выступать в качестве обеих сторон по таким сделкам в случае, если в наличии у Банка будет встречное поручение от другого Клиента на заключение такой сделки.</w:t>
            </w:r>
          </w:p>
          <w:p w:rsidR="006B51CF" w:rsidRPr="006B51CF"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lastRenderedPageBreak/>
              <w:t>10.4.10. Стороны пришли к соглашению о том, что в указанных случаях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Банка.</w:t>
            </w:r>
          </w:p>
          <w:p w:rsidR="006B0B72" w:rsidRPr="00CC59C2" w:rsidRDefault="006B51CF" w:rsidP="006B51CF">
            <w:pPr>
              <w:tabs>
                <w:tab w:val="left" w:pos="414"/>
              </w:tabs>
              <w:jc w:val="both"/>
              <w:rPr>
                <w:rFonts w:ascii="Times New Roman" w:hAnsi="Times New Roman" w:cs="Times New Roman"/>
                <w:kern w:val="20"/>
                <w:sz w:val="20"/>
                <w:szCs w:val="20"/>
              </w:rPr>
            </w:pPr>
            <w:r w:rsidRPr="006B51CF">
              <w:rPr>
                <w:rFonts w:ascii="Times New Roman" w:hAnsi="Times New Roman" w:cs="Times New Roman"/>
                <w:kern w:val="20"/>
                <w:sz w:val="20"/>
                <w:szCs w:val="20"/>
              </w:rPr>
              <w:t>10.4.11. Клиент проинформирован Банком о том, что у Банка может отсутствовать возможность по закрытию Непокрытой позиции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Непокрытой позиции Клиента.</w:t>
            </w:r>
          </w:p>
        </w:tc>
        <w:tc>
          <w:tcPr>
            <w:tcW w:w="5386" w:type="dxa"/>
          </w:tcPr>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lastRenderedPageBreak/>
              <w:t>10.4.</w:t>
            </w:r>
            <w:r w:rsidRPr="00B84110">
              <w:rPr>
                <w:rFonts w:ascii="Times New Roman" w:hAnsi="Times New Roman" w:cs="Times New Roman"/>
                <w:kern w:val="20"/>
                <w:sz w:val="20"/>
                <w:szCs w:val="20"/>
              </w:rPr>
              <w:tab/>
              <w:t>КОНТРОЛЬ ЗА РАЗМЕРОМ ПОРТФЕЛЯ КЛИЕНТА И ЕГО СООТВЕТСТВИЯ НАЧАЛЬНОЙ И МИНИМАЛЬНОЙ МАРЖЕ</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10.4.1.</w:t>
            </w:r>
            <w:r w:rsidRPr="00B84110">
              <w:rPr>
                <w:rFonts w:ascii="Times New Roman" w:hAnsi="Times New Roman" w:cs="Times New Roman"/>
                <w:kern w:val="20"/>
                <w:sz w:val="20"/>
                <w:szCs w:val="20"/>
              </w:rPr>
              <w:tab/>
              <w:t>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информации через Рабочее место QUIK и/или через Систему ДБО.</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Расчет стоимости Портфеля Клиента, а также значений Начальной маржи и Минимальной маржи осуществляется в соответствии с Приложением к Единым требованиям:</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w:t>
            </w:r>
            <w:r w:rsidRPr="00B84110">
              <w:rPr>
                <w:rFonts w:ascii="Times New Roman" w:hAnsi="Times New Roman" w:cs="Times New Roman"/>
                <w:kern w:val="20"/>
                <w:sz w:val="20"/>
                <w:szCs w:val="20"/>
              </w:rPr>
              <w:tab/>
              <w:t xml:space="preserve">Показатель </w:t>
            </w:r>
            <w:r w:rsidRPr="009041EA">
              <w:rPr>
                <w:noProof/>
                <w:lang w:eastAsia="ru-RU"/>
              </w:rPr>
              <w:drawing>
                <wp:inline distT="0" distB="0" distL="0" distR="0" wp14:anchorId="70C622CB" wp14:editId="7C31A726">
                  <wp:extent cx="395021" cy="224235"/>
                  <wp:effectExtent l="0" t="0" r="508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38000"/>
                            <a:extLst>
                              <a:ext uri="{28A0092B-C50C-407E-A947-70E740481C1C}">
                                <a14:useLocalDpi xmlns:a14="http://schemas.microsoft.com/office/drawing/2010/main" val="0"/>
                              </a:ext>
                            </a:extLst>
                          </a:blip>
                          <a:srcRect/>
                          <a:stretch>
                            <a:fillRect/>
                          </a:stretch>
                        </pic:blipFill>
                        <pic:spPr bwMode="auto">
                          <a:xfrm>
                            <a:off x="0" y="0"/>
                            <a:ext cx="409001" cy="232171"/>
                          </a:xfrm>
                          <a:prstGeom prst="rect">
                            <a:avLst/>
                          </a:prstGeom>
                          <a:noFill/>
                          <a:ln>
                            <a:noFill/>
                          </a:ln>
                        </pic:spPr>
                      </pic:pic>
                    </a:graphicData>
                  </a:graphic>
                </wp:inline>
              </w:drawing>
            </w:r>
            <w:r>
              <w:rPr>
                <w:rFonts w:ascii="Times New Roman" w:hAnsi="Times New Roman" w:cs="Times New Roman"/>
                <w:kern w:val="20"/>
                <w:sz w:val="20"/>
                <w:szCs w:val="20"/>
              </w:rPr>
              <w:t xml:space="preserve"> </w:t>
            </w:r>
            <w:r w:rsidRPr="00B84110">
              <w:rPr>
                <w:rFonts w:ascii="Times New Roman" w:hAnsi="Times New Roman" w:cs="Times New Roman"/>
                <w:kern w:val="20"/>
                <w:sz w:val="20"/>
                <w:szCs w:val="20"/>
              </w:rPr>
              <w:t>(Приложение к Единым требованиям), используемый для расчета Плановых позиций и Портфеля клиента, включает в себя задолженность Клиента перед Банком по выплате вознаграждения и возмещению всех расходов, связанных с осуществлением Банком операций по поручениям и в интересах Клиента;</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lastRenderedPageBreak/>
              <w:t>-</w:t>
            </w:r>
            <w:r w:rsidRPr="00B84110">
              <w:rPr>
                <w:rFonts w:ascii="Times New Roman" w:hAnsi="Times New Roman" w:cs="Times New Roman"/>
                <w:kern w:val="20"/>
                <w:sz w:val="20"/>
                <w:szCs w:val="20"/>
              </w:rPr>
              <w:tab/>
              <w:t xml:space="preserve">При определении показателя </w:t>
            </w:r>
            <w:r w:rsidRPr="009041EA">
              <w:rPr>
                <w:noProof/>
                <w:position w:val="-14"/>
                <w:lang w:eastAsia="ru-RU"/>
              </w:rPr>
              <w:drawing>
                <wp:inline distT="0" distB="0" distL="0" distR="0" wp14:anchorId="30BF3891" wp14:editId="32E9D776">
                  <wp:extent cx="175565" cy="2145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830" cy="217348"/>
                          </a:xfrm>
                          <a:prstGeom prst="rect">
                            <a:avLst/>
                          </a:prstGeom>
                          <a:noFill/>
                          <a:ln>
                            <a:noFill/>
                          </a:ln>
                        </pic:spPr>
                      </pic:pic>
                    </a:graphicData>
                  </a:graphic>
                </wp:inline>
              </w:drawing>
            </w:r>
            <w:r w:rsidRPr="00B84110">
              <w:rPr>
                <w:rFonts w:ascii="Times New Roman" w:hAnsi="Times New Roman" w:cs="Times New Roman"/>
                <w:kern w:val="20"/>
                <w:sz w:val="20"/>
                <w:szCs w:val="20"/>
              </w:rPr>
              <w:t xml:space="preserve"> (Цена i-го имущества, Приложение к Единым требованиям), используется информация о цене последней сделки с i-ым имуществом, совершенной на анонимных торгах в ТС ПАО Московская биржа;</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w:t>
            </w:r>
            <w:r w:rsidRPr="00B84110">
              <w:rPr>
                <w:rFonts w:ascii="Times New Roman" w:hAnsi="Times New Roman" w:cs="Times New Roman"/>
                <w:kern w:val="20"/>
                <w:sz w:val="20"/>
                <w:szCs w:val="20"/>
              </w:rPr>
              <w:tab/>
              <w:t>Значение ставок риска по Ликвидному имуществу (</w:t>
            </w:r>
            <w:r w:rsidRPr="009041EA">
              <w:rPr>
                <w:noProof/>
                <w:position w:val="-12"/>
                <w:lang w:eastAsia="ru-RU"/>
              </w:rPr>
              <w:drawing>
                <wp:inline distT="0" distB="0" distL="0" distR="0" wp14:anchorId="7FC82807" wp14:editId="3CB48469">
                  <wp:extent cx="138989" cy="219913"/>
                  <wp:effectExtent l="0" t="0" r="0" b="0"/>
                  <wp:docPr id="9" name="Рисунок 9" descr="base_1_374573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4573_3279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788" cy="222760"/>
                          </a:xfrm>
                          <a:prstGeom prst="rect">
                            <a:avLst/>
                          </a:prstGeom>
                          <a:noFill/>
                          <a:ln>
                            <a:noFill/>
                          </a:ln>
                        </pic:spPr>
                      </pic:pic>
                    </a:graphicData>
                  </a:graphic>
                </wp:inline>
              </w:drawing>
            </w:r>
            <w:r w:rsidR="006B51CF">
              <w:rPr>
                <w:rFonts w:ascii="Times New Roman" w:hAnsi="Times New Roman" w:cs="Times New Roman"/>
                <w:kern w:val="20"/>
                <w:sz w:val="20"/>
                <w:szCs w:val="20"/>
              </w:rPr>
              <w:t>,</w:t>
            </w:r>
            <w:r w:rsidRPr="009041EA">
              <w:rPr>
                <w:noProof/>
                <w:position w:val="-12"/>
                <w:lang w:eastAsia="ru-RU"/>
              </w:rPr>
              <w:drawing>
                <wp:inline distT="0" distB="0" distL="0" distR="0" wp14:anchorId="31037462" wp14:editId="6C949E3A">
                  <wp:extent cx="190195" cy="215493"/>
                  <wp:effectExtent l="0" t="0" r="635" b="0"/>
                  <wp:docPr id="10" name="Рисунок 10" descr="base_1_374573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74573_3279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704" cy="224001"/>
                          </a:xfrm>
                          <a:prstGeom prst="rect">
                            <a:avLst/>
                          </a:prstGeom>
                          <a:noFill/>
                          <a:ln>
                            <a:noFill/>
                          </a:ln>
                        </pic:spPr>
                      </pic:pic>
                    </a:graphicData>
                  </a:graphic>
                </wp:inline>
              </w:drawing>
            </w:r>
            <w:r w:rsidRPr="00B84110">
              <w:rPr>
                <w:rFonts w:ascii="Times New Roman" w:hAnsi="Times New Roman" w:cs="Times New Roman"/>
                <w:kern w:val="20"/>
                <w:sz w:val="20"/>
                <w:szCs w:val="20"/>
              </w:rPr>
              <w:t>) используемые для расчета Начальной маржи, определяются Банком самостоятельно в отношении различных категорий Клиентов, могут изменяться им в любое время, но при этом не могут быть ниже ставок, определенных в соответствии с требованиями Приложения к Единым требованиям. Банк вправе устанавливать более высокие ставки риска, чем ставки риска, рассчитанные в соответствии с Едиными требованиями. Значения ставок риска по ликвидному имуществу предоставляются Клиенту для ознакомления в Рабочем месте QUIK и/или через Систему ДБО.</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Банк вправе не включать в состав Портфеля Клиента Активы, которые должны поступить в результате исполнения сделок, заключенных на Внебиржевом рынке, а также Неторговых поручений Клиента.</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10.4.2.</w:t>
            </w:r>
            <w:r w:rsidRPr="00B84110">
              <w:rPr>
                <w:rFonts w:ascii="Times New Roman" w:hAnsi="Times New Roman" w:cs="Times New Roman"/>
                <w:kern w:val="20"/>
                <w:sz w:val="20"/>
                <w:szCs w:val="20"/>
              </w:rPr>
              <w:tab/>
              <w:t>Уровень Начальной маржи в случаях, установленных Едиными требованиями, может быть скорректирован. При расчете скорректированного размера Начальной маржи учитывается новое Поручение Клиента, а также его Поручения, которые были приняты Банком к исполнению ранее, но в момент расчета скорректированного размера Начальной маржи не отменены и не исполнены, или не отменены и исполнены не полностью. При этом, в расчете скорректированного размера Начальной маржи учитываются только Поручения Клиента, которые не предусматривают отлагательных условий для их исполнения, а также Поручения Клиента, которые предусматривают отлагательные условия, и на момент расчета скорректированного размера Начальной маржи наступили обстоятельства, от которых в соответствии с указанными условиями поставлено в зависимость исполнение этих Поручений.</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Порядок расчета скорректированного уровня Начальной маржи осуществляется с учетом Единых требований.</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10.4.3.</w:t>
            </w:r>
            <w:r w:rsidRPr="00B84110">
              <w:rPr>
                <w:rFonts w:ascii="Times New Roman" w:hAnsi="Times New Roman" w:cs="Times New Roman"/>
                <w:kern w:val="20"/>
                <w:sz w:val="20"/>
                <w:szCs w:val="20"/>
              </w:rPr>
              <w:tab/>
              <w:t xml:space="preserve">Банк предоставляет Клиенту возможность в любое время получать доступ к информации о стоимости своего Портфеля, о значениях Начальной маржи и Минимальной маржи через ЭСУД или через Систему ДБО. </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lastRenderedPageBreak/>
              <w:t>Клиент, имеющий Непокрытую позицию, обязан:</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 в течении Торговой сессии самостоятельно получать информацию о стоимости своего Портфеля, размере Начальной маржи, Минимальной маржи для оперативного реагирования на изменение этих показателей;</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 самостоятельно знакомиться с информацией о списке Ликвидного имущества, его изменениях, условиях, применяемых Банком для совершения Сделок с целью переноса Непокрытых позиций Клиента, а также с Тарифами Банка;</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 в случае, если стоимость Портфеля стала меньше размера Минимальной маржи, закрыть Непокрытую позицию и/или внести денежные средства в размере достаточном, чтобы разница между стоимостью Портфеля и Минимальной маржой была больше нуля;</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 закрыть Непокрытую позицию по Активу по требованию Банка в порядке и сроки, указанные в требовании.</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Клиент проинформирован Банком о том, что у Клиента может отсутствовать возможность по закрытию Непокрытой позиции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Непокрытой позиции Клиента.</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В соответствии с Едиными требованиями Банк вправе не направлять Клиенту оповещение о снижении стоимости Портфеля Клиента ниже размера Начальной маржи в связи с предоставлением Банком Клиенту доступа к информации о текущей стоимости Портфеля клиента, о размере Начальной маржи и о размере Минимальной маржи через ЭСУД или через Систему ДБО.</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10.4.4.</w:t>
            </w:r>
            <w:r w:rsidRPr="00B84110">
              <w:rPr>
                <w:rFonts w:ascii="Times New Roman" w:hAnsi="Times New Roman" w:cs="Times New Roman"/>
                <w:kern w:val="20"/>
                <w:sz w:val="20"/>
                <w:szCs w:val="20"/>
              </w:rPr>
              <w:tab/>
              <w:t>Банк не совершает в отношении Портфеля Клиента действия (в т.ч. не принимает и не исполняет Поручения от Клиента), в результате которых стоимость указанного Портфеля Клиента станет меньше соответствующего ему размера Начальной маржи, или в результате которых положительная разница между размером Начальной маржи и стоимостью Портфеля Клиента увеличится.</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Требования настоящего пункта не применяются в случаях, предусмотренных Едиными требованиями, а также в иных случаях, установленных Законодательством и данным Регламентом.</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lastRenderedPageBreak/>
              <w:t>10.4.6.</w:t>
            </w:r>
            <w:r w:rsidRPr="00B84110">
              <w:rPr>
                <w:rFonts w:ascii="Times New Roman" w:hAnsi="Times New Roman" w:cs="Times New Roman"/>
                <w:kern w:val="20"/>
                <w:sz w:val="20"/>
                <w:szCs w:val="20"/>
              </w:rPr>
              <w:tab/>
              <w:t>Если стоимость Портфеля Клиента стала меньше соответствующего ему размера Минимальной маржи, Банк совершает действия по снижению указанного размера Минимальной маржи и (или) увеличению стоимости Портфеля Клиента (закрытие позиций). Требования данного пункта не применяются, если до начала действий по закрытию позиций клиента стоимость Портфеля этого клиента превысила размер Минимальной маржи, или если размер Минимальной маржи равен нулю при отрицательной стоимости Портфеля клиента.</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Банк имеет право снять часть или все Активные поручения Клиента до или в период совершения действий, предусмотренных данным пунктом Регламента.</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10.4.7.</w:t>
            </w:r>
            <w:r w:rsidRPr="00B84110">
              <w:rPr>
                <w:rFonts w:ascii="Times New Roman" w:hAnsi="Times New Roman" w:cs="Times New Roman"/>
                <w:kern w:val="20"/>
                <w:sz w:val="20"/>
                <w:szCs w:val="20"/>
              </w:rPr>
              <w:tab/>
              <w:t>Действия, указанные в пункте 10.4.6. Регламента, должны быть осуществлены:</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 до окончания текущего торгового дня, в который наступило указанное обстоятельство (если стоимость Портфеля стала меньше Минимальной маржи до ограничительного времени);</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 не позднее ограничительного времени следующего торгового дня (если стоимость Портфеля стала меньше Минимальной маржи после ограничительного времени).</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В случае если до закрытия позиций Клиента организованные торги Ценными бумагами, и (или) Драгоценными металлами, и (или) иностранной валютой были приостановлены и их возобновление произошло после ограничительного времени закрытия позиций, Банк осуществляет закрытие позиций Клиента не позднее ограничительного времени закрытия позиций ближайшего торгового дня, следующего за торговым днем, в котором стоимость Портфеля Клиента стала меньше соответствующего ему размера Минимальной маржи.</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10.4.8.</w:t>
            </w:r>
            <w:r w:rsidRPr="00B84110">
              <w:rPr>
                <w:rFonts w:ascii="Times New Roman" w:hAnsi="Times New Roman" w:cs="Times New Roman"/>
                <w:kern w:val="20"/>
                <w:sz w:val="20"/>
                <w:szCs w:val="20"/>
              </w:rPr>
              <w:tab/>
              <w:t>В результате закрытия позиций клиента, отнесенного к категории с начальным уровнем риска (КНУР) и к категории со стандартным уровнем риска (КСУР), стоимость его Портфеля должна быть не менее размера Начальной маржи. А в результате закрытия позиций клиента, отнесенного к категории с повышенным уровнем риска (КПУР), стоимость его Портфеля должна быть не менее размера Минимальной маржи.</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 xml:space="preserve">При осуществлении Банком закрытия позиций Клиента до приведения значений стоимости Портфеля Клиента в соответствие с вышеуказанными требованиями допускается увеличение положительного значения разницы между </w:t>
            </w:r>
            <w:r w:rsidRPr="00B84110">
              <w:rPr>
                <w:rFonts w:ascii="Times New Roman" w:hAnsi="Times New Roman" w:cs="Times New Roman"/>
                <w:kern w:val="20"/>
                <w:sz w:val="20"/>
                <w:szCs w:val="20"/>
              </w:rPr>
              <w:lastRenderedPageBreak/>
              <w:t>размером Начальной маржи и стоимостью Портфеля Клиента и/или размером Минимальной маржи и стоимостью Портфеля Клиента.</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10.4.9.</w:t>
            </w:r>
            <w:r w:rsidRPr="00B84110">
              <w:rPr>
                <w:rFonts w:ascii="Times New Roman" w:hAnsi="Times New Roman" w:cs="Times New Roman"/>
                <w:kern w:val="20"/>
                <w:sz w:val="20"/>
                <w:szCs w:val="20"/>
              </w:rPr>
              <w:tab/>
              <w:t>Закрытие позиций осуществляется путем заключения сделок купли-продажи с любыми Активами за счет Клиента на торгах на основе безадресных заявок.</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Закрытие позиций может осуществляться Банком не на торгах на основе безадресных заявок при соблюдении условий Единых требований.</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В случае соблюдения одного из вышеуказанных требований Банк имеет право для целей закрытия позиций Клиента заключать сделки как в ТС, так и на Внебиржевом рынке, причем Банк вправе выступать в качестве обеих сторон по таким сделкам в случае, если в наличии у Банка будет встречное поручение от другого Клиента на заключение такой сделки.</w:t>
            </w:r>
          </w:p>
          <w:p w:rsidR="00B84110" w:rsidRPr="00B84110"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10.4.10. Стороны пришли к соглашению о том, что в указанных случаях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указанными действиями Банка.</w:t>
            </w:r>
          </w:p>
          <w:p w:rsidR="006B0B72" w:rsidRPr="006A2159" w:rsidRDefault="00B84110" w:rsidP="003730F3">
            <w:pPr>
              <w:tabs>
                <w:tab w:val="left" w:pos="168"/>
              </w:tabs>
              <w:jc w:val="both"/>
              <w:rPr>
                <w:rFonts w:ascii="Times New Roman" w:hAnsi="Times New Roman" w:cs="Times New Roman"/>
                <w:kern w:val="20"/>
                <w:sz w:val="20"/>
                <w:szCs w:val="20"/>
              </w:rPr>
            </w:pPr>
            <w:r w:rsidRPr="00B84110">
              <w:rPr>
                <w:rFonts w:ascii="Times New Roman" w:hAnsi="Times New Roman" w:cs="Times New Roman"/>
                <w:kern w:val="20"/>
                <w:sz w:val="20"/>
                <w:szCs w:val="20"/>
              </w:rPr>
              <w:t>10.4.11. Клиент проинформирован Банком о том, что у Банка может отсутствовать возможность по закрытию Непокрытой позиции Клиента. Банк не несет ответственности за убытки, в том числе упущенную выгоду, понесенные расходы, неполученные доходы, иные экономические и правовые последствия, понесенные Клиентом, связанные с отсутствием возможности по закрытию Непокрытой позиции Клиента.</w:t>
            </w:r>
          </w:p>
        </w:tc>
      </w:tr>
      <w:tr w:rsidR="00B84110" w:rsidRPr="000842C1" w:rsidTr="00C873C8">
        <w:tc>
          <w:tcPr>
            <w:tcW w:w="581" w:type="dxa"/>
          </w:tcPr>
          <w:p w:rsidR="00B84110" w:rsidRDefault="003730F3" w:rsidP="006B0B72">
            <w:pPr>
              <w:rPr>
                <w:rFonts w:ascii="Times New Roman" w:hAnsi="Times New Roman" w:cs="Times New Roman"/>
                <w:sz w:val="20"/>
                <w:szCs w:val="20"/>
              </w:rPr>
            </w:pPr>
            <w:r>
              <w:rPr>
                <w:rFonts w:ascii="Times New Roman" w:hAnsi="Times New Roman" w:cs="Times New Roman"/>
                <w:sz w:val="20"/>
                <w:szCs w:val="20"/>
              </w:rPr>
              <w:lastRenderedPageBreak/>
              <w:t>7.</w:t>
            </w:r>
          </w:p>
        </w:tc>
        <w:tc>
          <w:tcPr>
            <w:tcW w:w="2219" w:type="dxa"/>
          </w:tcPr>
          <w:p w:rsidR="005254AE" w:rsidRPr="00EB0CBA" w:rsidRDefault="005254AE" w:rsidP="005254AE">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5254AE" w:rsidRPr="00EB0CBA" w:rsidRDefault="005254AE" w:rsidP="005254AE">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B84110" w:rsidRPr="00EB0CBA" w:rsidRDefault="005254AE" w:rsidP="005254AE">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B84110" w:rsidRDefault="001809D0" w:rsidP="006B0B72">
            <w:pPr>
              <w:rPr>
                <w:rFonts w:ascii="Times New Roman" w:hAnsi="Times New Roman" w:cs="Times New Roman"/>
                <w:sz w:val="20"/>
                <w:szCs w:val="20"/>
              </w:rPr>
            </w:pPr>
            <w:r w:rsidRPr="001809D0">
              <w:rPr>
                <w:rFonts w:ascii="Times New Roman" w:hAnsi="Times New Roman" w:cs="Times New Roman"/>
                <w:sz w:val="20"/>
                <w:szCs w:val="20"/>
              </w:rPr>
              <w:t>10.6.</w:t>
            </w:r>
            <w:r w:rsidRPr="001809D0">
              <w:rPr>
                <w:rFonts w:ascii="Times New Roman" w:hAnsi="Times New Roman" w:cs="Times New Roman"/>
                <w:sz w:val="20"/>
                <w:szCs w:val="20"/>
              </w:rPr>
              <w:tab/>
              <w:t>ПОРЯДОК ОТНЕСЕНИЯ КЛИЕНТОВ К РАЗЛИЧНЫМ КАТЕГОРИЯМ КЛИЕНТОВ</w:t>
            </w:r>
          </w:p>
        </w:tc>
        <w:tc>
          <w:tcPr>
            <w:tcW w:w="5063" w:type="dxa"/>
          </w:tcPr>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10.6.</w:t>
            </w:r>
            <w:r w:rsidRPr="004F3E40">
              <w:rPr>
                <w:rFonts w:ascii="Times New Roman" w:hAnsi="Times New Roman" w:cs="Times New Roman"/>
                <w:kern w:val="20"/>
                <w:sz w:val="20"/>
                <w:szCs w:val="20"/>
              </w:rPr>
              <w:tab/>
              <w:t>ПОРЯДОК ОТНЕСЕНИЯ КЛИЕНТОВ К РАЗЛИЧНЫМ КАТЕГОРИЯМ КЛИЕНТОВ</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10.6.1.</w:t>
            </w:r>
            <w:r w:rsidRPr="004F3E40">
              <w:rPr>
                <w:rFonts w:ascii="Times New Roman" w:hAnsi="Times New Roman" w:cs="Times New Roman"/>
                <w:kern w:val="20"/>
                <w:sz w:val="20"/>
                <w:szCs w:val="20"/>
              </w:rPr>
              <w:tab/>
              <w:t>Требования к расчету стоимости Портфеля Клиента и размера Начальной маржи могут различаться в зависимости от категории, к которой относится этот Клиент в соответствии с данным Регламентом, а также от статуса брокерского счета Клиента. Брокерскому счету могут быть установлены следующие статусы:</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«не маржинальный», - брокерский счет, по которому у Клиента нет права заключения Непокрытых сделок и/или подачи поручений на проведение Неторговых операций, приводящих к возникновению или увеличению Непокрытой позиции. Непокрытые позиции по такому брокерскому счету могут возникнуть только в случаях, установленных пунктом 10.1.8 Регламента.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«маржинальный», - брокерский счет, по которому у Клиента есть право для заключения Непокрытых сделок и/или подачу поручений на проведение Неторговых операций, приводящих к возникновению или увеличению Непокрытой позиции.</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Заявление на установление брокерскому счету статуса «маржинальный» Клиент может подать, если в Анкете Клиента указан адрес электронной почты для получения сообщений от Банка и/или Клиентом получен доступ к ЭСУД и/или к Системе ДБО.</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 xml:space="preserve">Установление статуса «маржинальный» остается на усмотрение Банка, при этом для Клиента - физического лица, не являющегося квалифицированным инвестором, производится только при условии положительного </w:t>
            </w:r>
            <w:r w:rsidRPr="004F3E40">
              <w:rPr>
                <w:rFonts w:ascii="Times New Roman" w:hAnsi="Times New Roman" w:cs="Times New Roman"/>
                <w:kern w:val="20"/>
                <w:sz w:val="20"/>
                <w:szCs w:val="20"/>
              </w:rPr>
              <w:lastRenderedPageBreak/>
              <w:t>результата тестирования в соответствии с пунктом 5.11. настоящего Регламента, в отношении совершения Непокрытых сделок.</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10.6.2.</w:t>
            </w:r>
            <w:r w:rsidRPr="004F3E40">
              <w:rPr>
                <w:rFonts w:ascii="Times New Roman" w:hAnsi="Times New Roman" w:cs="Times New Roman"/>
                <w:kern w:val="20"/>
                <w:sz w:val="20"/>
                <w:szCs w:val="20"/>
              </w:rPr>
              <w:tab/>
              <w:t>Клиент может быть отнесен к следующим категориям клиентов:</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Клиент со стандартным уровнем риска (КСУР);</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Клиент с повышенным уровнем риска (КПУР);</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Клиент с особым уровнем риска (КОУР) – только для клиентов-юридических лиц.</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В случае наличия нескольких договоров на брокерское обслуживание с Клиентом, Банк учитывает установленную категорию Клиента по всем договорам на брокерское обслуживание, которым установлен статус «маржинальный».</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10.6.3. Клиент со стандартным уровнем риска (КСУР) - Клиент, не отнесенный Банком к Клиентам с повышенным уровнем риска и Клиентам с особым уровнем риска.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для клиентов со стандартным уровнем риска с учетом особенностей, установленных разделом 10.4 Регламента.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10.6.4.</w:t>
            </w:r>
            <w:r w:rsidRPr="004F3E40">
              <w:rPr>
                <w:rFonts w:ascii="Times New Roman" w:hAnsi="Times New Roman" w:cs="Times New Roman"/>
                <w:kern w:val="20"/>
                <w:sz w:val="20"/>
                <w:szCs w:val="20"/>
              </w:rPr>
              <w:tab/>
              <w:t>Клиент с повышенным уровнем риска (КПУР) — Клиент, отнесенный Банком к категории КПУР в соответствии с условиями Единых требований и настоящего Регламента.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для клиентов с повышенным уровнем риска с учетом особенностей, установленных разделом 10.4 Регламента.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Клиент — юридическое лицо относится Банком к категории КПУР и исключается из указанной категории на основании Заявления на включение в категорию клиентов КПУР по форме Приложения 32, полученного Банком любым из способов, описанных в разделе 3 данного Регламента, либо по решению Банка, принятому Банком самостоятельно, без получения соответствующего Заявления от Клиента.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 xml:space="preserve">Клиент — физическое лицо относится Банком к категории КПУР и исключается из указанной категории </w:t>
            </w:r>
            <w:r w:rsidRPr="004F3E40">
              <w:rPr>
                <w:rFonts w:ascii="Times New Roman" w:hAnsi="Times New Roman" w:cs="Times New Roman"/>
                <w:kern w:val="20"/>
                <w:sz w:val="20"/>
                <w:szCs w:val="20"/>
              </w:rPr>
              <w:lastRenderedPageBreak/>
              <w:t>на основании Заявления на включение в категорию клиентов КПУР по форме Приложения 32, полученного Банком любым из способов, описанных в разделе 3 данного Регламента, либо по решению Банка, принятому Банком самостоятельно. Отнесение Клиента-физического лица к категории КПУР производится при условии, что в отношении данного Клиента выполняется один из следующих вариантов:</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Вариант 1 (соблюдение одного условия):</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3 000 000 (трех миллионов) рублей по состоянию на день, предшествующий дню, с которого это лицо считается отнесенным к категории КПУР;</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Вариант 2 (одновременное соблюдение двух условий):</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600 000 (шестисот тысяч) рублей по состоянию на день, предшествующий дню, с которого это лицо считается отнесенным к категории КПУР;</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физическое лицо является клиентом Банка или иных брокеров в течение последних 180 дней, предшествующих дню принятия указанного решения, из которых не менее пяти дней за счет этого лица брокером (брокерами) заключались договоры с ценными бумагами или договоры, являющиеся производными финансовыми инструментами.</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10.6.5.</w:t>
            </w:r>
            <w:r w:rsidRPr="004F3E40">
              <w:rPr>
                <w:rFonts w:ascii="Times New Roman" w:hAnsi="Times New Roman" w:cs="Times New Roman"/>
                <w:kern w:val="20"/>
                <w:sz w:val="20"/>
                <w:szCs w:val="20"/>
              </w:rPr>
              <w:tab/>
              <w:t>Клиент с особым уровнем риска (КОУР) — Клиент - юридическое лицо, отнесенный Банком к категории КОУР в соответствии с требованиями данного раздела Регламента.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 xml:space="preserve">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как для Клиентов с </w:t>
            </w:r>
            <w:r w:rsidRPr="004F3E40">
              <w:rPr>
                <w:rFonts w:ascii="Times New Roman" w:hAnsi="Times New Roman" w:cs="Times New Roman"/>
                <w:kern w:val="20"/>
                <w:sz w:val="20"/>
                <w:szCs w:val="20"/>
              </w:rPr>
              <w:lastRenderedPageBreak/>
              <w:t>повышенным уровнем риска, если иной порядок не определен соглашением с данным Клиентом.</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В отношении Клиентов с особым уровнем риска могут не применяться следующие ограничения и требования:</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запрет на подачу Поручений на Непокрытые Сделки по Ликвидному имуществу, которое определяется в соответствии с пунктами 4 и 5 Единых требований;</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запрет на исполнение Поручений Клиента, влекущих за собой возникновение или увеличение в абсолютном выражении Непокрытой позиции по Ценной бумаге, не включенной в список Ценных бумаг для коротких продаж (пункт 10.1.5 Регламента):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запрет на совершение Банком в отношении Портфеля Клиента действий, в результате которых стоимость указанного Портфеля Клиента станет меньше соответствующего ему размера Начальной маржи, или в результате которых положительная разница между размером Начальной маржи и стоимостью Портфеля Клиента увеличится (пункт 10.4.4 Регламента);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w:t>
            </w:r>
            <w:r w:rsidRPr="004F3E40">
              <w:rPr>
                <w:rFonts w:ascii="Times New Roman" w:hAnsi="Times New Roman" w:cs="Times New Roman"/>
                <w:kern w:val="20"/>
                <w:sz w:val="20"/>
                <w:szCs w:val="20"/>
              </w:rPr>
              <w:tab/>
              <w:t>обязанность Банка осуществить закрытие позиций Клиента, если стоимость Портфеля Клиента стала меньше соответствующего ему размера Минимальной маржи (пункт 10.4.6 Регламента).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Клиент — юридическое лицо относится Банком к категории КОУР и исключается из указанной категории на основании Заявления на включение в категорию клиентов КОУР по форме Приложения 38, полученного Банком любым из способов, описанных в разделе 3 данного Регламента.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Включение в категорию клиентов с особым уровнем риска остается на усмотрение Банка.</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10.6.6. Информация о текущей категории риска Клиента отображается в Рабочем месте «QUIK» и/или системе ДБО по брокерскому счету Клиента, которому присвоен статус «маржинальный».</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После отнесения Клиента к той или иной категории Банк осуществляет изменение значений ставок риска по Ликвидному имуществу, предоставляемым Клиенту для ознакомления в Рабочем месте QUIK и/или через Систему ДБО, по брокерскому счету Клиента, которому присвоен статус «маржинальный».</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10.6.7.</w:t>
            </w:r>
            <w:r w:rsidRPr="004F3E40">
              <w:rPr>
                <w:rFonts w:ascii="Times New Roman" w:hAnsi="Times New Roman" w:cs="Times New Roman"/>
                <w:kern w:val="20"/>
                <w:sz w:val="20"/>
                <w:szCs w:val="20"/>
              </w:rPr>
              <w:tab/>
              <w:t>Банк вправе отказать Клиенту в присвоении категорий риска: клиент с повышенным уровнем риска, клиент с особым уровнем риска без объяснения причин.</w:t>
            </w:r>
          </w:p>
          <w:p w:rsidR="004F3E40" w:rsidRPr="004F3E40"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lastRenderedPageBreak/>
              <w:t xml:space="preserve">Клиент-физическое лицо отнесенный Банком к категории КПУР, может быть исключен из этой категории по требованию Клиента (Приложение 32). В этом случае Клиент относится к категории КСУР, повторное отнесение к категории КПУР производится после получения Банком от Клиента Заявления на включение в категорию КПУР (в отношении физических лиц также при соблюдении условий Единых требований., </w:t>
            </w:r>
          </w:p>
          <w:p w:rsidR="00B84110" w:rsidRPr="00CC59C2" w:rsidRDefault="004F3E40" w:rsidP="004F3E40">
            <w:pPr>
              <w:tabs>
                <w:tab w:val="left" w:pos="414"/>
              </w:tabs>
              <w:jc w:val="both"/>
              <w:rPr>
                <w:rFonts w:ascii="Times New Roman" w:hAnsi="Times New Roman" w:cs="Times New Roman"/>
                <w:kern w:val="20"/>
                <w:sz w:val="20"/>
                <w:szCs w:val="20"/>
              </w:rPr>
            </w:pPr>
            <w:r w:rsidRPr="004F3E40">
              <w:rPr>
                <w:rFonts w:ascii="Times New Roman" w:hAnsi="Times New Roman" w:cs="Times New Roman"/>
                <w:kern w:val="20"/>
                <w:sz w:val="20"/>
                <w:szCs w:val="20"/>
              </w:rPr>
              <w:t>Банк вправе исключить Клиента из категории КПУР по своему решению, принятому самостоятельно, без объяснения причин.</w:t>
            </w:r>
          </w:p>
        </w:tc>
        <w:tc>
          <w:tcPr>
            <w:tcW w:w="5386" w:type="dxa"/>
          </w:tcPr>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lastRenderedPageBreak/>
              <w:t>10.6.</w:t>
            </w:r>
            <w:r w:rsidRPr="001809D0">
              <w:rPr>
                <w:rFonts w:ascii="Times New Roman" w:hAnsi="Times New Roman" w:cs="Times New Roman"/>
                <w:kern w:val="20"/>
                <w:sz w:val="20"/>
                <w:szCs w:val="20"/>
              </w:rPr>
              <w:tab/>
              <w:t>ПОРЯДОК ОТНЕСЕНИЯ КЛИЕНТОВ К РАЗЛИЧНЫМ КАТЕГОРИЯМ КЛИЕНТОВ</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10.6.1.</w:t>
            </w:r>
            <w:r w:rsidRPr="001809D0">
              <w:rPr>
                <w:rFonts w:ascii="Times New Roman" w:hAnsi="Times New Roman" w:cs="Times New Roman"/>
                <w:kern w:val="20"/>
                <w:sz w:val="20"/>
                <w:szCs w:val="20"/>
              </w:rPr>
              <w:tab/>
              <w:t>Требования к расчету стоимости Портфеля Клиента и размера Начальной маржи могут различаться в зависимости от категории, к которой относится этот Клиент в соответствии с данным Регламентом, а также от статуса брокерского счета Клиента. Брокерскому счету могут быть установлены следующие статусы:</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w:t>
            </w:r>
            <w:r w:rsidRPr="001809D0">
              <w:rPr>
                <w:rFonts w:ascii="Times New Roman" w:hAnsi="Times New Roman" w:cs="Times New Roman"/>
                <w:kern w:val="20"/>
                <w:sz w:val="20"/>
                <w:szCs w:val="20"/>
              </w:rPr>
              <w:tab/>
              <w:t>«не маржинальный», - брокерский счет, по которому у Клиента нет права заключения Непокрытых сделок и/или подачи поручений на проведение Неторговых операций, приводящих к возникновению или увеличению Непокрытой позиции. Непокрытые позиции по такому брокерскому счету могут возникнуть только в случаях, установл</w:t>
            </w:r>
            <w:r>
              <w:rPr>
                <w:rFonts w:ascii="Times New Roman" w:hAnsi="Times New Roman" w:cs="Times New Roman"/>
                <w:kern w:val="20"/>
                <w:sz w:val="20"/>
                <w:szCs w:val="20"/>
              </w:rPr>
              <w:t>енных пунктом 10.1.8 Регламента;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w:t>
            </w:r>
            <w:r w:rsidRPr="001809D0">
              <w:rPr>
                <w:rFonts w:ascii="Times New Roman" w:hAnsi="Times New Roman" w:cs="Times New Roman"/>
                <w:kern w:val="20"/>
                <w:sz w:val="20"/>
                <w:szCs w:val="20"/>
              </w:rPr>
              <w:tab/>
              <w:t>«маржинальный», - брокерский счет, по которому у Клиента есть право для заключения Непокрытых сделок и/или подачу поручений на проведение Неторговых операций, приводящих к возникновению или увеличению Непокрытой позиции.</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Заявление на установление брокерскому счету статуса «маржинальный» Клиент может подать, если в Анкете Клиента указан адрес электронной почты для получения сообщений от Банка и/или Клиентом получен доступ к ЭСУД и/или к Системе ДБО.</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xml:space="preserve">Установление статуса «маржинальный» остается на усмотрение Банка, при этом для Клиента - физического лица, не являющегося квалифицированным инвестором, производится только при условии положительного </w:t>
            </w:r>
            <w:r w:rsidRPr="001809D0">
              <w:rPr>
                <w:rFonts w:ascii="Times New Roman" w:hAnsi="Times New Roman" w:cs="Times New Roman"/>
                <w:kern w:val="20"/>
                <w:sz w:val="20"/>
                <w:szCs w:val="20"/>
              </w:rPr>
              <w:lastRenderedPageBreak/>
              <w:t>результата тестирования в соответствии с пунктом 5.11. настоящего Регламента, в отношении совершения Непокрытых сделок.</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10.6.2.</w:t>
            </w:r>
            <w:r w:rsidRPr="001809D0">
              <w:rPr>
                <w:rFonts w:ascii="Times New Roman" w:hAnsi="Times New Roman" w:cs="Times New Roman"/>
                <w:kern w:val="20"/>
                <w:sz w:val="20"/>
                <w:szCs w:val="20"/>
              </w:rPr>
              <w:tab/>
              <w:t>Клиент может быть отнесен к следующим категориям клиентов:</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w:t>
            </w:r>
            <w:r w:rsidRPr="001809D0">
              <w:rPr>
                <w:rFonts w:ascii="Times New Roman" w:hAnsi="Times New Roman" w:cs="Times New Roman"/>
                <w:kern w:val="20"/>
                <w:sz w:val="20"/>
                <w:szCs w:val="20"/>
              </w:rPr>
              <w:tab/>
              <w:t>Клиент с начальным уровнем риска (КНУР) – только для клиентов-физических лиц;</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w:t>
            </w:r>
            <w:r w:rsidRPr="001809D0">
              <w:rPr>
                <w:rFonts w:ascii="Times New Roman" w:hAnsi="Times New Roman" w:cs="Times New Roman"/>
                <w:kern w:val="20"/>
                <w:sz w:val="20"/>
                <w:szCs w:val="20"/>
              </w:rPr>
              <w:tab/>
              <w:t>Клиент со стандартным уровнем риска (КСУР);</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w:t>
            </w:r>
            <w:r w:rsidRPr="001809D0">
              <w:rPr>
                <w:rFonts w:ascii="Times New Roman" w:hAnsi="Times New Roman" w:cs="Times New Roman"/>
                <w:kern w:val="20"/>
                <w:sz w:val="20"/>
                <w:szCs w:val="20"/>
              </w:rPr>
              <w:tab/>
              <w:t>Клиент с повышенным уровнем риска (КПУР);</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w:t>
            </w:r>
            <w:r w:rsidRPr="001809D0">
              <w:rPr>
                <w:rFonts w:ascii="Times New Roman" w:hAnsi="Times New Roman" w:cs="Times New Roman"/>
                <w:kern w:val="20"/>
                <w:sz w:val="20"/>
                <w:szCs w:val="20"/>
              </w:rPr>
              <w:tab/>
              <w:t>Клиент с особым уровнем риска (КОУР) – только для клиентов-юридических лиц.</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В случае наличия нескольких договоров на брокерское обслуживание с Клиентом, Банк учитывает установленную категорию Клиента по всем договорам на брокерское обслуживание, которым установлен статус «маржинальный».</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10.6.3. Клиент с начальным уровнем риска (КНУР) – Клиент-физическое лицо, не отнесенный Банком к Клиентам со стандартным уровнем риска и Клиентам с повышенным уровнем риска.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для клиентов с начальным уровнем риска с учетом особенностей, установленных разделом 10.4 Регламента.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10.6.4. Клиент со стандартным уровнем риска (КСУР):</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Клиент-юридическое лицо, не отнесенный Банком к Клиентам с повышенным уровнем риска и Клиентам с особым уровнем риска.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Клиент-физическое лицо, отнесенный Банком к категории КСУР в соответствии с условиями Единых требований и настоящего Регламента.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для клиентов со стандартным уровнем риска с учетом особенностей, установленных разделом 10.4 Регламента.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xml:space="preserve">Клиент-физическое лицо относится Банком к категории КСУР и исключается из указанной категории на основании Заявления на включение в категорию клиентов КСУР по форме Приложения 45, полученного Банком любым из </w:t>
            </w:r>
            <w:r w:rsidRPr="001809D0">
              <w:rPr>
                <w:rFonts w:ascii="Times New Roman" w:hAnsi="Times New Roman" w:cs="Times New Roman"/>
                <w:kern w:val="20"/>
                <w:sz w:val="20"/>
                <w:szCs w:val="20"/>
              </w:rPr>
              <w:lastRenderedPageBreak/>
              <w:t>способов, описанных в разделе 3 данного Регламента, либо по решению Банка, принятому Банком самостоятельно.</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Отнесение Клиента-физического лица к категории КСУР производится при условии, что в отношении данного Клиента выполняется один из следующих вариантов:</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Вариант 1 (соблюдение одного условия):</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3 000 000 (трех миллионов) рублей по состоянию на день, предшествующий дню, с которого это лицо считается отнесенным к категории КСУР;</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Вариант 2 (одновременное соблюдение двух условий):</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600 000 (шестисот тысяч) рублей по состоянию на день, предшествующий дню, с которого это лицо считается отнесенным к категории КСУР;</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физическое лицо является Клиентом Банка или иных брокеров в течение последних 180 дней, предшествующих дню принятия указанного решения, из которых не менее пяти дней за счет этого лица Банком или иными брокерами заключались договоры купли-продажи ценных бумаг и (или) договоры, являющиеся производными финансовыми инструментами.</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Вариант 3 (соблюдение одного условия):</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Клиент признан Банком квалифицированным инвестором;</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Вариант 4 (соблюдение одного условия):</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со дня заключения Банком за счет указанного Клиента сделки, приводящей к возникновению непокрытой позиции, или договора, являющегося производным финансовым инструментом, прошло не менее одного года, в течение которого не менее пяти дней за счет этого лица Банком заключались договоры купли-продажи ценных бумаг и (или) договоры, являющиеся производными финансовыми инструментами.</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10.6.5.</w:t>
            </w:r>
            <w:r w:rsidRPr="001809D0">
              <w:rPr>
                <w:rFonts w:ascii="Times New Roman" w:hAnsi="Times New Roman" w:cs="Times New Roman"/>
                <w:kern w:val="20"/>
                <w:sz w:val="20"/>
                <w:szCs w:val="20"/>
              </w:rPr>
              <w:tab/>
              <w:t xml:space="preserve">Клиент с повышенным уровнем риска (КПУР) — Клиент, отнесенный Банком к категории КПУР в </w:t>
            </w:r>
            <w:r w:rsidRPr="001809D0">
              <w:rPr>
                <w:rFonts w:ascii="Times New Roman" w:hAnsi="Times New Roman" w:cs="Times New Roman"/>
                <w:kern w:val="20"/>
                <w:sz w:val="20"/>
                <w:szCs w:val="20"/>
              </w:rPr>
              <w:lastRenderedPageBreak/>
              <w:t>соответствии с условиями Единых требований и настоящего Регламента.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для клиентов с повышенным уровнем риска с учетом особенностей, установленных разделом 10.4 Регламента.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Клиент-юридическое лицо относится Банком к категории КПУР и исключается из указанной категории на основании Заявления на включение в категорию клиентов КПУР по форме Приложения 32, полученного Банком любым из способов, описанных в разделе 3 данного Регламента, либо по решению Банка, принятому Банком самостоятельно, без получения соответствующего Заявления от Клиента.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Клиент-физическое лицо относится Банком к категории КПУР и исключается из указанной категории на основании Заявления на включение в категорию клиентов КПУР по форме Приложения 32, полученного Банком любым из способов, описанных в разделе 3 данного Регламента, либо по решению Банка, принятому Банком самостоятельно. Отнесение Клиента-физического лица к категории КПУР производится при условии, что в отношении данного Клиента выполняется один из следующих вариантов:</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Вариант 1 (соблюдение одного условия):</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3 000 000 (трех миллионов) рублей по состоянию на день, предшествующий дню, с которого это лицо считается отнесенным к категории КПУР;</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Вариант 2 (одновременное соблюдение двух условий):</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600 000 (шестисот тысяч) рублей по состоянию на день, предшествующий дню, с которого это лицо считается отнесенным к категории КПУР;</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xml:space="preserve">- физическое лицо является клиентом Банка или иных брокеров в течение последних 180 дней, предшествующих </w:t>
            </w:r>
            <w:r w:rsidRPr="001809D0">
              <w:rPr>
                <w:rFonts w:ascii="Times New Roman" w:hAnsi="Times New Roman" w:cs="Times New Roman"/>
                <w:kern w:val="20"/>
                <w:sz w:val="20"/>
                <w:szCs w:val="20"/>
              </w:rPr>
              <w:lastRenderedPageBreak/>
              <w:t>дню принятия указанного решения, из которых не менее пяти дней за счет этого лица Банком или иными брокерами заключались договоры купли-продажи ценных бумаг и (или) договоры, являющиеся производными финансовыми инструментами;</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Вариант 3 (соблюдение одного условия):</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Клиент признан Банком квалифицированным инвестором.</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10.6.6.</w:t>
            </w:r>
            <w:r w:rsidRPr="001809D0">
              <w:rPr>
                <w:rFonts w:ascii="Times New Roman" w:hAnsi="Times New Roman" w:cs="Times New Roman"/>
                <w:kern w:val="20"/>
                <w:sz w:val="20"/>
                <w:szCs w:val="20"/>
              </w:rPr>
              <w:tab/>
              <w:t>Клиент с особым уровнем риска (КОУР) — Клиент-юридическое лицо, отнесенный Банком к категории КОУР в соответствии с требованиями данного раздела Регламента.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как для Клиентов с повышенным уровнем риска, если иной порядок не определен соглашением с данным Клиентом.</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 xml:space="preserve">В отношении Клиентов с особым уровнем риска Банком могут не применяться ограничения и требования, которые предусмотрены для Клиентов со стандартным и Клиентов с повышенным уровнем риска. </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Клиент — юридическое лицо относится Банком к категории КОУР и исключается из указанной категории на основании Заявления на включение в категорию клиентов КОУР по форме Приложения 38, полученного Банком любым из способов, описанных в разделе 3 данного Регламента.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Включение в категорию клиентов с особым уровнем риска остается на усмотрение Банка.</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10.6.7. Информация о текущей категории риска Клиента отображается в Рабочем месте «QUIK» и/или системе ДБО по брокерскому счету Клиента, которому присвоен статус «маржинальный» и/или по брокерскому счету Клиента, на котором учитываются денежные средства, используемые при расчетах по операциям со Срочными контрактами.</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После отнесения Клиента к той или иной категории Банк осуществляет изменение значений ставок риска по Ликвидному имуществу, предоставляемым Клиенту для ознакомления в Рабочем месте QUIK и/или через Систему ДБО, по брокерскому счету Клиента, которому присвоен статус «маржинальный».</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10.6.8.</w:t>
            </w:r>
            <w:r w:rsidRPr="001809D0">
              <w:rPr>
                <w:rFonts w:ascii="Times New Roman" w:hAnsi="Times New Roman" w:cs="Times New Roman"/>
                <w:kern w:val="20"/>
                <w:sz w:val="20"/>
                <w:szCs w:val="20"/>
              </w:rPr>
              <w:tab/>
              <w:t>Банк вправе отказать Клиенту в присвоении категорий риска: клиент со стандартным уровнем риска, клиент с повышенным уровнем риска, клиент с особым уровнем риска без объяснения причин.</w:t>
            </w:r>
          </w:p>
          <w:p w:rsidR="001809D0" w:rsidRPr="001809D0"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lastRenderedPageBreak/>
              <w:t xml:space="preserve">Клиент-физическое лицо, отнесенный Банком к категории КСУР или КПУР, может быть исключен из этой категории по требованию Клиента (Приложение 45 или Приложение 32 соответственно). В этом случае Клиент-физическое лицо относится к категории КНУР, повторное отнесение к категории КСУР или категории КПУР производится после получения Банком от Клиента Заявления на включение в категорию КСУР или КПУР (в отношении физических лиц также при соблюдении условий Единых требований. </w:t>
            </w:r>
          </w:p>
          <w:p w:rsidR="00B84110" w:rsidRPr="006A2159" w:rsidRDefault="001809D0" w:rsidP="004F3E40">
            <w:pPr>
              <w:tabs>
                <w:tab w:val="left" w:pos="175"/>
              </w:tabs>
              <w:jc w:val="both"/>
              <w:rPr>
                <w:rFonts w:ascii="Times New Roman" w:hAnsi="Times New Roman" w:cs="Times New Roman"/>
                <w:kern w:val="20"/>
                <w:sz w:val="20"/>
                <w:szCs w:val="20"/>
              </w:rPr>
            </w:pPr>
            <w:r w:rsidRPr="001809D0">
              <w:rPr>
                <w:rFonts w:ascii="Times New Roman" w:hAnsi="Times New Roman" w:cs="Times New Roman"/>
                <w:kern w:val="20"/>
                <w:sz w:val="20"/>
                <w:szCs w:val="20"/>
              </w:rPr>
              <w:t>Банк вправе исключить Клиента из категории КСУР и КПУР по своему решению, принятому самостоятельно, без объяснения причин.</w:t>
            </w:r>
          </w:p>
        </w:tc>
      </w:tr>
      <w:tr w:rsidR="006B0B72" w:rsidRPr="000842C1" w:rsidTr="00C873C8">
        <w:tc>
          <w:tcPr>
            <w:tcW w:w="581" w:type="dxa"/>
          </w:tcPr>
          <w:p w:rsidR="006B0B72" w:rsidRDefault="008158EE" w:rsidP="006B0B72">
            <w:pPr>
              <w:rPr>
                <w:rFonts w:ascii="Times New Roman" w:hAnsi="Times New Roman" w:cs="Times New Roman"/>
                <w:sz w:val="20"/>
                <w:szCs w:val="20"/>
              </w:rPr>
            </w:pPr>
            <w:r>
              <w:rPr>
                <w:rFonts w:ascii="Times New Roman" w:hAnsi="Times New Roman" w:cs="Times New Roman"/>
                <w:sz w:val="20"/>
                <w:szCs w:val="20"/>
              </w:rPr>
              <w:lastRenderedPageBreak/>
              <w:t>7</w:t>
            </w:r>
            <w:r w:rsidR="006B0B72">
              <w:rPr>
                <w:rFonts w:ascii="Times New Roman" w:hAnsi="Times New Roman" w:cs="Times New Roman"/>
                <w:sz w:val="20"/>
                <w:szCs w:val="20"/>
              </w:rPr>
              <w:t>.</w:t>
            </w:r>
          </w:p>
        </w:tc>
        <w:tc>
          <w:tcPr>
            <w:tcW w:w="2219" w:type="dxa"/>
          </w:tcPr>
          <w:p w:rsidR="006B0B72" w:rsidRDefault="006B0B72" w:rsidP="003730F3">
            <w:pPr>
              <w:rPr>
                <w:rFonts w:ascii="Times New Roman" w:hAnsi="Times New Roman" w:cs="Times New Roman"/>
                <w:sz w:val="20"/>
                <w:szCs w:val="20"/>
              </w:rPr>
            </w:pPr>
            <w:r>
              <w:rPr>
                <w:rFonts w:ascii="Times New Roman" w:hAnsi="Times New Roman" w:cs="Times New Roman"/>
                <w:sz w:val="20"/>
                <w:szCs w:val="20"/>
              </w:rPr>
              <w:t xml:space="preserve">Приложение </w:t>
            </w:r>
            <w:r w:rsidR="003730F3">
              <w:rPr>
                <w:rFonts w:ascii="Times New Roman" w:hAnsi="Times New Roman" w:cs="Times New Roman"/>
                <w:sz w:val="20"/>
                <w:szCs w:val="20"/>
              </w:rPr>
              <w:t>45</w:t>
            </w:r>
          </w:p>
        </w:tc>
        <w:tc>
          <w:tcPr>
            <w:tcW w:w="2197" w:type="dxa"/>
          </w:tcPr>
          <w:p w:rsidR="006B0B72" w:rsidRDefault="003730F3" w:rsidP="003C40F2">
            <w:pPr>
              <w:rPr>
                <w:rFonts w:ascii="Times New Roman" w:hAnsi="Times New Roman" w:cs="Times New Roman"/>
                <w:sz w:val="20"/>
                <w:szCs w:val="20"/>
              </w:rPr>
            </w:pPr>
            <w:r>
              <w:rPr>
                <w:rFonts w:ascii="Times New Roman" w:hAnsi="Times New Roman" w:cs="Times New Roman"/>
                <w:sz w:val="20"/>
                <w:szCs w:val="20"/>
              </w:rPr>
              <w:t>Новое Приложение</w:t>
            </w:r>
            <w:r w:rsidR="003C40F2">
              <w:rPr>
                <w:rFonts w:ascii="Times New Roman" w:hAnsi="Times New Roman" w:cs="Times New Roman"/>
                <w:sz w:val="20"/>
                <w:szCs w:val="20"/>
              </w:rPr>
              <w:t xml:space="preserve"> </w:t>
            </w:r>
          </w:p>
        </w:tc>
        <w:tc>
          <w:tcPr>
            <w:tcW w:w="5063" w:type="dxa"/>
          </w:tcPr>
          <w:p w:rsidR="006B0B72" w:rsidRDefault="003730F3" w:rsidP="003C40F2">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rsidR="006B0B72" w:rsidRPr="003C40F2" w:rsidRDefault="003C40F2" w:rsidP="003730F3">
            <w:pPr>
              <w:tabs>
                <w:tab w:val="left" w:pos="1605"/>
              </w:tabs>
              <w:jc w:val="both"/>
              <w:rPr>
                <w:rFonts w:ascii="Times New Roman" w:hAnsi="Times New Roman" w:cs="Times New Roman"/>
                <w:kern w:val="20"/>
                <w:sz w:val="20"/>
                <w:szCs w:val="20"/>
              </w:rPr>
            </w:pPr>
            <w:r w:rsidRPr="003C40F2">
              <w:rPr>
                <w:rFonts w:ascii="Times New Roman" w:hAnsi="Times New Roman" w:cs="Times New Roman"/>
                <w:kern w:val="20"/>
                <w:sz w:val="20"/>
                <w:szCs w:val="20"/>
              </w:rPr>
              <w:t>ЗАЯВЛЕНИЕ на включение в категорию/исключение из категории клиентов с</w:t>
            </w:r>
            <w:r w:rsidR="003730F3">
              <w:rPr>
                <w:rFonts w:ascii="Times New Roman" w:hAnsi="Times New Roman" w:cs="Times New Roman"/>
                <w:kern w:val="20"/>
                <w:sz w:val="20"/>
                <w:szCs w:val="20"/>
              </w:rPr>
              <w:t>о</w:t>
            </w:r>
            <w:r w:rsidRPr="003C40F2">
              <w:rPr>
                <w:rFonts w:ascii="Times New Roman" w:hAnsi="Times New Roman" w:cs="Times New Roman"/>
                <w:kern w:val="20"/>
                <w:sz w:val="20"/>
                <w:szCs w:val="20"/>
              </w:rPr>
              <w:t xml:space="preserve"> </w:t>
            </w:r>
            <w:r w:rsidR="003730F3">
              <w:rPr>
                <w:rFonts w:ascii="Times New Roman" w:hAnsi="Times New Roman" w:cs="Times New Roman"/>
                <w:kern w:val="20"/>
                <w:sz w:val="20"/>
                <w:szCs w:val="20"/>
              </w:rPr>
              <w:t>стандартным уровнем риска (КСУР</w:t>
            </w:r>
            <w:bookmarkStart w:id="0" w:name="_GoBack"/>
            <w:bookmarkEnd w:id="0"/>
            <w:r w:rsidRPr="003C40F2">
              <w:rPr>
                <w:rFonts w:ascii="Times New Roman" w:hAnsi="Times New Roman" w:cs="Times New Roman"/>
                <w:kern w:val="20"/>
                <w:sz w:val="20"/>
                <w:szCs w:val="20"/>
              </w:rPr>
              <w:t>)</w:t>
            </w:r>
          </w:p>
        </w:tc>
      </w:tr>
    </w:tbl>
    <w:p w:rsidR="00E9467C" w:rsidRPr="00EB0CBA" w:rsidRDefault="00E9467C">
      <w:pPr>
        <w:rPr>
          <w:rFonts w:ascii="Times New Roman" w:hAnsi="Times New Roman" w:cs="Times New Roman"/>
          <w:sz w:val="20"/>
          <w:szCs w:val="20"/>
        </w:rPr>
      </w:pPr>
    </w:p>
    <w:sectPr w:rsidR="00E9467C" w:rsidRPr="00EB0CBA" w:rsidSect="00F82B8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D67D4"/>
    <w:multiLevelType w:val="multilevel"/>
    <w:tmpl w:val="89B44882"/>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5B51BCA"/>
    <w:multiLevelType w:val="multilevel"/>
    <w:tmpl w:val="A726E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0477285"/>
    <w:multiLevelType w:val="hybridMultilevel"/>
    <w:tmpl w:val="9B64EF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3523F3"/>
    <w:multiLevelType w:val="hybridMultilevel"/>
    <w:tmpl w:val="5B10F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EC"/>
    <w:rsid w:val="000842C1"/>
    <w:rsid w:val="000C0821"/>
    <w:rsid w:val="001524B7"/>
    <w:rsid w:val="00161AEC"/>
    <w:rsid w:val="001809D0"/>
    <w:rsid w:val="002F5B18"/>
    <w:rsid w:val="00342BBC"/>
    <w:rsid w:val="003730F3"/>
    <w:rsid w:val="003C40F2"/>
    <w:rsid w:val="004F0304"/>
    <w:rsid w:val="004F3E40"/>
    <w:rsid w:val="0051146C"/>
    <w:rsid w:val="005254AE"/>
    <w:rsid w:val="00560602"/>
    <w:rsid w:val="00565EC8"/>
    <w:rsid w:val="0067559D"/>
    <w:rsid w:val="0068005C"/>
    <w:rsid w:val="006A2159"/>
    <w:rsid w:val="006B0B72"/>
    <w:rsid w:val="006B51CF"/>
    <w:rsid w:val="006C21BD"/>
    <w:rsid w:val="006E1E50"/>
    <w:rsid w:val="00714905"/>
    <w:rsid w:val="00756F5A"/>
    <w:rsid w:val="007764D1"/>
    <w:rsid w:val="0078071C"/>
    <w:rsid w:val="008158EE"/>
    <w:rsid w:val="008B1916"/>
    <w:rsid w:val="00923218"/>
    <w:rsid w:val="009E11EB"/>
    <w:rsid w:val="009E155E"/>
    <w:rsid w:val="00A652C8"/>
    <w:rsid w:val="00B24A1C"/>
    <w:rsid w:val="00B84110"/>
    <w:rsid w:val="00BB4BA0"/>
    <w:rsid w:val="00BC7723"/>
    <w:rsid w:val="00BE73DF"/>
    <w:rsid w:val="00BF13B0"/>
    <w:rsid w:val="00C873C8"/>
    <w:rsid w:val="00CB5A5B"/>
    <w:rsid w:val="00CB7A46"/>
    <w:rsid w:val="00CC59C2"/>
    <w:rsid w:val="00CF0371"/>
    <w:rsid w:val="00E6205A"/>
    <w:rsid w:val="00E740FB"/>
    <w:rsid w:val="00E9467C"/>
    <w:rsid w:val="00EB0CBA"/>
    <w:rsid w:val="00F8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C545"/>
  <w15:chartTrackingRefBased/>
  <w15:docId w15:val="{B2785E56-D5AB-4F05-B233-F76437C8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7764D1"/>
    <w:pPr>
      <w:keepNext/>
      <w:autoSpaceDE w:val="0"/>
      <w:autoSpaceDN w:val="0"/>
      <w:spacing w:after="0" w:line="240" w:lineRule="auto"/>
      <w:outlineLvl w:val="1"/>
    </w:pPr>
    <w:rPr>
      <w:rFonts w:ascii="Times New Roman" w:eastAsia="Times New Roman" w:hAnsi="Times New Roman" w:cs="Times New Roman"/>
      <w:sz w:val="40"/>
      <w:szCs w:val="40"/>
      <w:lang w:eastAsia="ru-RU"/>
    </w:rPr>
  </w:style>
  <w:style w:type="paragraph" w:styleId="3">
    <w:name w:val="heading 3"/>
    <w:basedOn w:val="a"/>
    <w:next w:val="a"/>
    <w:link w:val="30"/>
    <w:qFormat/>
    <w:rsid w:val="00E6205A"/>
    <w:pPr>
      <w:keepNext/>
      <w:spacing w:after="0" w:line="240" w:lineRule="atLeast"/>
      <w:jc w:val="center"/>
      <w:outlineLvl w:val="2"/>
    </w:pPr>
    <w:rPr>
      <w:rFonts w:ascii="Times New Roman" w:eastAsia="Times New Roman" w:hAnsi="Times New Roman" w:cs="Times New Roman"/>
      <w:b/>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6205A"/>
    <w:rPr>
      <w:sz w:val="16"/>
      <w:szCs w:val="16"/>
    </w:rPr>
  </w:style>
  <w:style w:type="paragraph" w:styleId="a5">
    <w:name w:val="annotation text"/>
    <w:basedOn w:val="a"/>
    <w:link w:val="a6"/>
    <w:uiPriority w:val="99"/>
    <w:unhideWhenUsed/>
    <w:rsid w:val="00E6205A"/>
    <w:pPr>
      <w:spacing w:after="0" w:line="240" w:lineRule="auto"/>
    </w:pPr>
    <w:rPr>
      <w:rFonts w:ascii="Times New Roman" w:eastAsia="Times New Roman" w:hAnsi="Times New Roman" w:cs="Times New Roman"/>
      <w:sz w:val="20"/>
      <w:szCs w:val="20"/>
      <w:lang w:eastAsia="en-GB"/>
    </w:rPr>
  </w:style>
  <w:style w:type="character" w:customStyle="1" w:styleId="a6">
    <w:name w:val="Текст примечания Знак"/>
    <w:basedOn w:val="a0"/>
    <w:link w:val="a5"/>
    <w:uiPriority w:val="99"/>
    <w:rsid w:val="00E6205A"/>
    <w:rPr>
      <w:rFonts w:ascii="Times New Roman" w:eastAsia="Times New Roman" w:hAnsi="Times New Roman" w:cs="Times New Roman"/>
      <w:sz w:val="20"/>
      <w:szCs w:val="20"/>
      <w:lang w:eastAsia="en-GB"/>
    </w:rPr>
  </w:style>
  <w:style w:type="paragraph" w:styleId="a7">
    <w:name w:val="Balloon Text"/>
    <w:basedOn w:val="a"/>
    <w:link w:val="a8"/>
    <w:uiPriority w:val="99"/>
    <w:semiHidden/>
    <w:unhideWhenUsed/>
    <w:rsid w:val="00E620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205A"/>
    <w:rPr>
      <w:rFonts w:ascii="Segoe UI" w:hAnsi="Segoe UI" w:cs="Segoe UI"/>
      <w:sz w:val="18"/>
      <w:szCs w:val="18"/>
    </w:rPr>
  </w:style>
  <w:style w:type="paragraph" w:styleId="a9">
    <w:name w:val="List Paragraph"/>
    <w:basedOn w:val="a"/>
    <w:uiPriority w:val="34"/>
    <w:qFormat/>
    <w:rsid w:val="00E6205A"/>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rsid w:val="00E6205A"/>
    <w:rPr>
      <w:rFonts w:ascii="Times New Roman" w:eastAsia="Times New Roman" w:hAnsi="Times New Roman" w:cs="Times New Roman"/>
      <w:b/>
      <w:snapToGrid w:val="0"/>
      <w:sz w:val="24"/>
      <w:szCs w:val="24"/>
      <w:lang w:eastAsia="ru-RU"/>
    </w:rPr>
  </w:style>
  <w:style w:type="character" w:styleId="aa">
    <w:name w:val="Hyperlink"/>
    <w:rsid w:val="00E6205A"/>
    <w:rPr>
      <w:color w:val="0000FF"/>
      <w:u w:val="single"/>
    </w:rPr>
  </w:style>
  <w:style w:type="character" w:customStyle="1" w:styleId="20">
    <w:name w:val="Заголовок 2 Знак"/>
    <w:basedOn w:val="a0"/>
    <w:link w:val="2"/>
    <w:uiPriority w:val="99"/>
    <w:rsid w:val="007764D1"/>
    <w:rPr>
      <w:rFonts w:ascii="Times New Roman" w:eastAsia="Times New Roman" w:hAnsi="Times New Roman" w:cs="Times New Roman"/>
      <w:sz w:val="40"/>
      <w:szCs w:val="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21</Pages>
  <Words>10362</Words>
  <Characters>59068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Титенок Дмитрий Эдуардович</dc:creator>
  <cp:keywords/>
  <dc:description/>
  <cp:lastModifiedBy>Черепенько Алексей Михайлович</cp:lastModifiedBy>
  <cp:revision>19</cp:revision>
  <dcterms:created xsi:type="dcterms:W3CDTF">2025-01-30T13:34:00Z</dcterms:created>
  <dcterms:modified xsi:type="dcterms:W3CDTF">2025-03-13T09:03:00Z</dcterms:modified>
</cp:coreProperties>
</file>