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446" w:type="dxa"/>
        <w:tblLook w:val="04A0" w:firstRow="1" w:lastRow="0" w:firstColumn="1" w:lastColumn="0" w:noHBand="0" w:noVBand="1"/>
      </w:tblPr>
      <w:tblGrid>
        <w:gridCol w:w="581"/>
        <w:gridCol w:w="2219"/>
        <w:gridCol w:w="2197"/>
        <w:gridCol w:w="5063"/>
        <w:gridCol w:w="5386"/>
      </w:tblGrid>
      <w:tr w:rsidR="00161AEC" w:rsidRPr="00EB0CBA" w:rsidTr="00B24A1C">
        <w:tc>
          <w:tcPr>
            <w:tcW w:w="581" w:type="dxa"/>
          </w:tcPr>
          <w:p w:rsidR="00161AEC" w:rsidRPr="00EB0CBA" w:rsidRDefault="00161AEC">
            <w:pPr>
              <w:rPr>
                <w:rFonts w:ascii="Times New Roman" w:hAnsi="Times New Roman" w:cs="Times New Roman"/>
                <w:sz w:val="20"/>
                <w:szCs w:val="20"/>
              </w:rPr>
            </w:pPr>
          </w:p>
        </w:tc>
        <w:tc>
          <w:tcPr>
            <w:tcW w:w="2219"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Документ</w:t>
            </w:r>
          </w:p>
        </w:tc>
        <w:tc>
          <w:tcPr>
            <w:tcW w:w="2197"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Раздел документа</w:t>
            </w:r>
          </w:p>
        </w:tc>
        <w:tc>
          <w:tcPr>
            <w:tcW w:w="5063"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Было</w:t>
            </w:r>
          </w:p>
        </w:tc>
        <w:tc>
          <w:tcPr>
            <w:tcW w:w="5386" w:type="dxa"/>
          </w:tcPr>
          <w:p w:rsidR="00161AEC" w:rsidRPr="00EB0CBA" w:rsidRDefault="00161AEC" w:rsidP="00F82B8B">
            <w:pPr>
              <w:jc w:val="center"/>
              <w:rPr>
                <w:rFonts w:ascii="Times New Roman" w:hAnsi="Times New Roman" w:cs="Times New Roman"/>
                <w:b/>
                <w:sz w:val="20"/>
                <w:szCs w:val="20"/>
              </w:rPr>
            </w:pPr>
            <w:r w:rsidRPr="00EB0CBA">
              <w:rPr>
                <w:rFonts w:ascii="Times New Roman" w:hAnsi="Times New Roman" w:cs="Times New Roman"/>
                <w:b/>
                <w:sz w:val="20"/>
                <w:szCs w:val="20"/>
              </w:rPr>
              <w:t>Стало</w:t>
            </w:r>
          </w:p>
        </w:tc>
      </w:tr>
      <w:tr w:rsidR="00161AEC" w:rsidRPr="00EB0CBA" w:rsidTr="00B24A1C">
        <w:tc>
          <w:tcPr>
            <w:tcW w:w="581" w:type="dxa"/>
          </w:tcPr>
          <w:p w:rsidR="00161AEC" w:rsidRPr="00EB0CBA" w:rsidRDefault="00161AEC">
            <w:pPr>
              <w:rPr>
                <w:rFonts w:ascii="Times New Roman" w:hAnsi="Times New Roman" w:cs="Times New Roman"/>
                <w:sz w:val="20"/>
                <w:szCs w:val="20"/>
              </w:rPr>
            </w:pPr>
            <w:r w:rsidRPr="00EB0CBA">
              <w:rPr>
                <w:rFonts w:ascii="Times New Roman" w:hAnsi="Times New Roman" w:cs="Times New Roman"/>
                <w:sz w:val="20"/>
                <w:szCs w:val="20"/>
              </w:rPr>
              <w:t>1</w:t>
            </w:r>
            <w:r w:rsidR="006B0B72">
              <w:rPr>
                <w:rFonts w:ascii="Times New Roman" w:hAnsi="Times New Roman" w:cs="Times New Roman"/>
                <w:sz w:val="20"/>
                <w:szCs w:val="20"/>
              </w:rPr>
              <w:t>.</w:t>
            </w:r>
          </w:p>
        </w:tc>
        <w:tc>
          <w:tcPr>
            <w:tcW w:w="2219" w:type="dxa"/>
          </w:tcPr>
          <w:p w:rsidR="00E6205A"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E6205A"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161AEC" w:rsidRPr="00EB0CBA" w:rsidRDefault="00E6205A" w:rsidP="00E6205A">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sidR="009E11EB">
              <w:rPr>
                <w:rFonts w:ascii="Times New Roman" w:hAnsi="Times New Roman" w:cs="Times New Roman"/>
                <w:sz w:val="20"/>
                <w:szCs w:val="20"/>
              </w:rPr>
              <w:t>»</w:t>
            </w:r>
          </w:p>
        </w:tc>
        <w:tc>
          <w:tcPr>
            <w:tcW w:w="2197" w:type="dxa"/>
          </w:tcPr>
          <w:p w:rsidR="00161AEC" w:rsidRPr="00EB0CBA" w:rsidRDefault="009E11EB">
            <w:pPr>
              <w:rPr>
                <w:rFonts w:ascii="Times New Roman" w:hAnsi="Times New Roman" w:cs="Times New Roman"/>
                <w:sz w:val="20"/>
                <w:szCs w:val="20"/>
              </w:rPr>
            </w:pPr>
            <w:r>
              <w:rPr>
                <w:rFonts w:ascii="Times New Roman" w:hAnsi="Times New Roman" w:cs="Times New Roman"/>
                <w:sz w:val="20"/>
                <w:szCs w:val="20"/>
              </w:rPr>
              <w:t>1.1.</w:t>
            </w:r>
          </w:p>
        </w:tc>
        <w:tc>
          <w:tcPr>
            <w:tcW w:w="5063" w:type="dxa"/>
          </w:tcPr>
          <w:p w:rsidR="00161AEC" w:rsidRPr="00EB0CBA" w:rsidRDefault="006B0B72" w:rsidP="002F5B18">
            <w:pPr>
              <w:rPr>
                <w:rFonts w:ascii="Times New Roman" w:hAnsi="Times New Roman" w:cs="Times New Roman"/>
                <w:sz w:val="20"/>
                <w:szCs w:val="20"/>
              </w:rPr>
            </w:pPr>
            <w:r w:rsidRPr="006B0B72">
              <w:rPr>
                <w:rFonts w:ascii="Times New Roman" w:hAnsi="Times New Roman" w:cs="Times New Roman"/>
                <w:sz w:val="20"/>
                <w:szCs w:val="20"/>
              </w:rPr>
              <w:t>Ограничительное время закрытия позиций — время, до которого снижение Стоимости Портфеля Клиента ниже размера Минимальной маржи влечет закрытие позиций Клиента в течение указанного торго</w:t>
            </w:r>
            <w:r>
              <w:rPr>
                <w:rFonts w:ascii="Times New Roman" w:hAnsi="Times New Roman" w:cs="Times New Roman"/>
                <w:sz w:val="20"/>
                <w:szCs w:val="20"/>
              </w:rPr>
              <w:t>вого дня. Соответствует 16:00</w:t>
            </w:r>
            <w:r w:rsidRPr="006B0B72">
              <w:rPr>
                <w:rFonts w:ascii="Times New Roman" w:hAnsi="Times New Roman" w:cs="Times New Roman"/>
                <w:sz w:val="20"/>
                <w:szCs w:val="20"/>
              </w:rPr>
              <w:t xml:space="preserve"> по московскому времени.</w:t>
            </w:r>
          </w:p>
        </w:tc>
        <w:tc>
          <w:tcPr>
            <w:tcW w:w="5386" w:type="dxa"/>
          </w:tcPr>
          <w:p w:rsidR="00161AEC" w:rsidRPr="00EB0CBA" w:rsidRDefault="006B0B72" w:rsidP="002F5B18">
            <w:pPr>
              <w:rPr>
                <w:rFonts w:ascii="Times New Roman" w:hAnsi="Times New Roman" w:cs="Times New Roman"/>
                <w:sz w:val="20"/>
                <w:szCs w:val="20"/>
              </w:rPr>
            </w:pPr>
            <w:r w:rsidRPr="006B0B72">
              <w:rPr>
                <w:rFonts w:ascii="Times New Roman" w:hAnsi="Times New Roman" w:cs="Times New Roman"/>
                <w:sz w:val="20"/>
                <w:szCs w:val="20"/>
              </w:rPr>
              <w:t>Ограничительное время закрытия позиций — время, до которого снижение Стоимости Портфеля Клиента ниже размера Минимальной маржи влечет закрытие позиций Клиента в течение указанного торгового дня. Соответствует 16:00:00 по московскому времени.</w:t>
            </w:r>
          </w:p>
        </w:tc>
      </w:tr>
      <w:tr w:rsidR="006B0B72" w:rsidRPr="00EB0CBA" w:rsidTr="00B24A1C">
        <w:tc>
          <w:tcPr>
            <w:tcW w:w="581" w:type="dxa"/>
          </w:tcPr>
          <w:p w:rsidR="006B0B72" w:rsidRPr="00EB0CBA" w:rsidRDefault="006B0B72" w:rsidP="006B0B72">
            <w:pPr>
              <w:rPr>
                <w:rFonts w:ascii="Times New Roman" w:hAnsi="Times New Roman" w:cs="Times New Roman"/>
                <w:sz w:val="20"/>
                <w:szCs w:val="20"/>
              </w:rPr>
            </w:pPr>
            <w:r>
              <w:rPr>
                <w:rFonts w:ascii="Times New Roman" w:hAnsi="Times New Roman" w:cs="Times New Roman"/>
                <w:sz w:val="20"/>
                <w:szCs w:val="20"/>
              </w:rPr>
              <w:t>2.</w:t>
            </w:r>
          </w:p>
        </w:tc>
        <w:tc>
          <w:tcPr>
            <w:tcW w:w="2219" w:type="dxa"/>
          </w:tcPr>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6B0B72" w:rsidRPr="00EB0CBA" w:rsidRDefault="006B0B72" w:rsidP="006B0B72">
            <w:pPr>
              <w:rPr>
                <w:rFonts w:ascii="Times New Roman" w:hAnsi="Times New Roman" w:cs="Times New Roman"/>
                <w:sz w:val="20"/>
                <w:szCs w:val="20"/>
              </w:rPr>
            </w:pPr>
            <w:r>
              <w:rPr>
                <w:rFonts w:ascii="Times New Roman" w:hAnsi="Times New Roman" w:cs="Times New Roman"/>
                <w:sz w:val="20"/>
                <w:szCs w:val="20"/>
              </w:rPr>
              <w:t>1.1.</w:t>
            </w:r>
          </w:p>
        </w:tc>
        <w:tc>
          <w:tcPr>
            <w:tcW w:w="5063" w:type="dxa"/>
          </w:tcPr>
          <w:p w:rsidR="006B0B72" w:rsidRPr="00EB0CBA" w:rsidRDefault="006B0B72" w:rsidP="006B0B72">
            <w:pPr>
              <w:rPr>
                <w:rFonts w:ascii="Times New Roman" w:hAnsi="Times New Roman" w:cs="Times New Roman"/>
                <w:sz w:val="20"/>
                <w:szCs w:val="20"/>
              </w:rPr>
            </w:pPr>
            <w:r w:rsidRPr="009E11EB">
              <w:rPr>
                <w:rFonts w:ascii="Times New Roman" w:hAnsi="Times New Roman" w:cs="Times New Roman"/>
                <w:sz w:val="20"/>
                <w:szCs w:val="20"/>
              </w:rPr>
              <w:t>Портфель клиента — денежные средства и (или) ценные бумаги клиента, обязательства из сделок с ценными бумагами и денежными средствами, совершённых в соответствии с заключенным с этим клиентом договором о брокерском обслуживании, задолженность такого клиента перед банком по предоставленным банком займам для совершения маржинальных сделок. Банк имеет право предусмотреть у Клиента наличие нескольких портфелей, в том числе сгруппированных по месту совершения сделок и (или) месту расчётов. Стоимость Портфеля Клиента определяется в рублях по денежным средствам, по Ценным бумагам и по Драгоценным металлам, определенных в порядке, установленном Едиными требованиями.</w:t>
            </w:r>
          </w:p>
        </w:tc>
        <w:tc>
          <w:tcPr>
            <w:tcW w:w="5386" w:type="dxa"/>
          </w:tcPr>
          <w:p w:rsidR="006B0B72" w:rsidRPr="00EB0CBA" w:rsidRDefault="006B0B72" w:rsidP="006B0B72">
            <w:pPr>
              <w:rPr>
                <w:rFonts w:ascii="Times New Roman" w:hAnsi="Times New Roman" w:cs="Times New Roman"/>
                <w:sz w:val="20"/>
                <w:szCs w:val="20"/>
              </w:rPr>
            </w:pPr>
            <w:r w:rsidRPr="009E11EB">
              <w:rPr>
                <w:rFonts w:ascii="Times New Roman" w:hAnsi="Times New Roman" w:cs="Times New Roman"/>
                <w:sz w:val="20"/>
                <w:szCs w:val="20"/>
              </w:rPr>
              <w:t>Портфель клиента — денежные средства (в валюте РФ и (или) в иностранной валюте), ценные бумаги, драгоценные металлы, которые в соответствии с договором о брокерском обслуживании находятся в распоряжении Банка или должны поступить в его распоряжение, обязательства из сделок, заключенных клиентом за счет указанных активов, требования и обязательства из Срочных сделок и сделок с ПФИ, а также задолженность клиента перед Банком в рамках договора о брокерском обслуживании. Банк имеет право предусмотреть у Клиента наличие нескольких портфелей, в том числе сгруппированных по месту совершения сделок и (или) месту расчётов.</w:t>
            </w:r>
          </w:p>
        </w:tc>
      </w:tr>
      <w:tr w:rsidR="006B0B72" w:rsidRPr="00EB0CBA" w:rsidTr="00B24A1C">
        <w:tc>
          <w:tcPr>
            <w:tcW w:w="581" w:type="dxa"/>
          </w:tcPr>
          <w:p w:rsidR="006B0B72" w:rsidRPr="00EB0CBA" w:rsidRDefault="008158EE" w:rsidP="006B0B72">
            <w:pPr>
              <w:rPr>
                <w:rFonts w:ascii="Times New Roman" w:hAnsi="Times New Roman" w:cs="Times New Roman"/>
                <w:sz w:val="20"/>
                <w:szCs w:val="20"/>
              </w:rPr>
            </w:pPr>
            <w:r>
              <w:rPr>
                <w:rFonts w:ascii="Times New Roman" w:hAnsi="Times New Roman" w:cs="Times New Roman"/>
                <w:sz w:val="20"/>
                <w:szCs w:val="20"/>
              </w:rPr>
              <w:t>3.</w:t>
            </w:r>
          </w:p>
        </w:tc>
        <w:tc>
          <w:tcPr>
            <w:tcW w:w="2219" w:type="dxa"/>
          </w:tcPr>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6B0B72" w:rsidRPr="00EB0CBA" w:rsidRDefault="006B0B72" w:rsidP="006B0B72">
            <w:pPr>
              <w:rPr>
                <w:rFonts w:ascii="Times New Roman" w:hAnsi="Times New Roman" w:cs="Times New Roman"/>
                <w:sz w:val="20"/>
                <w:szCs w:val="20"/>
              </w:rPr>
            </w:pPr>
            <w:r>
              <w:rPr>
                <w:rFonts w:ascii="Times New Roman" w:hAnsi="Times New Roman" w:cs="Times New Roman"/>
                <w:sz w:val="20"/>
                <w:szCs w:val="20"/>
              </w:rPr>
              <w:t>1.1.</w:t>
            </w:r>
          </w:p>
        </w:tc>
        <w:tc>
          <w:tcPr>
            <w:tcW w:w="5063" w:type="dxa"/>
          </w:tcPr>
          <w:p w:rsidR="006B0B72" w:rsidRPr="00EB0CBA" w:rsidRDefault="006B0B72" w:rsidP="006B0B72">
            <w:pPr>
              <w:rPr>
                <w:rFonts w:ascii="Times New Roman" w:hAnsi="Times New Roman" w:cs="Times New Roman"/>
                <w:sz w:val="20"/>
                <w:szCs w:val="20"/>
              </w:rPr>
            </w:pPr>
            <w:r w:rsidRPr="009E11EB">
              <w:rPr>
                <w:rFonts w:ascii="Times New Roman" w:hAnsi="Times New Roman" w:cs="Times New Roman"/>
                <w:sz w:val="20"/>
                <w:szCs w:val="20"/>
              </w:rPr>
              <w:t>Требование о закрытии позиции — требование о погашении всех или части обязательств Клиента, возникших в связи с возникновением у Клиента Непокрытой позиции либо в связи с уменьшением уровня Гарантийного обеспечения Клиента по всем Открытым позициям, путем внесения Клиентом денежных средств или Ценных бумаг либо путем заключения Срочных сделок, Сделок с Ценными бумагами, направляемое Банком Клиенту в случаях, установленных данным Регламентом.</w:t>
            </w:r>
          </w:p>
        </w:tc>
        <w:tc>
          <w:tcPr>
            <w:tcW w:w="5386" w:type="dxa"/>
          </w:tcPr>
          <w:p w:rsidR="006B0B72" w:rsidRPr="000842C1" w:rsidRDefault="006B0B72" w:rsidP="006B0B72">
            <w:pPr>
              <w:rPr>
                <w:rFonts w:ascii="Times New Roman" w:hAnsi="Times New Roman" w:cs="Times New Roman"/>
                <w:sz w:val="20"/>
                <w:szCs w:val="20"/>
              </w:rPr>
            </w:pPr>
            <w:r w:rsidRPr="009E11EB">
              <w:rPr>
                <w:rFonts w:ascii="Times New Roman" w:hAnsi="Times New Roman" w:cs="Times New Roman"/>
                <w:sz w:val="20"/>
                <w:szCs w:val="20"/>
              </w:rPr>
              <w:t>Требование о закрытии позиции — требование о погашении всех или части обязательств Клиента, возникших в связи с возникновением у Клиента Непокрытой позиции либо в связи с уменьшением уровня Гарантийного обеспечения Клиента по всем Открытым позициям, путем внесения Клиентом денежных средств или Ценных бумаг либо путем заключения Срочных сделок, Сделок с Ценными бумагами, Валютой, Драгоценными металлами, направляемое Банком Клиенту в случаях, установленных данным Регламентом.</w:t>
            </w:r>
          </w:p>
        </w:tc>
      </w:tr>
      <w:tr w:rsidR="006B0B72" w:rsidRPr="00EB0CBA" w:rsidTr="00B24A1C">
        <w:tc>
          <w:tcPr>
            <w:tcW w:w="581" w:type="dxa"/>
          </w:tcPr>
          <w:p w:rsidR="006B0B72" w:rsidRPr="00EB0CBA" w:rsidRDefault="008158EE" w:rsidP="006B0B72">
            <w:pPr>
              <w:rPr>
                <w:rFonts w:ascii="Times New Roman" w:hAnsi="Times New Roman" w:cs="Times New Roman"/>
                <w:sz w:val="20"/>
                <w:szCs w:val="20"/>
              </w:rPr>
            </w:pPr>
            <w:r>
              <w:rPr>
                <w:rFonts w:ascii="Times New Roman" w:hAnsi="Times New Roman" w:cs="Times New Roman"/>
                <w:sz w:val="20"/>
                <w:szCs w:val="20"/>
              </w:rPr>
              <w:t>4.</w:t>
            </w:r>
          </w:p>
        </w:tc>
        <w:tc>
          <w:tcPr>
            <w:tcW w:w="2219" w:type="dxa"/>
          </w:tcPr>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6B0B72" w:rsidRDefault="006B0B72" w:rsidP="006B0B72">
            <w:pPr>
              <w:rPr>
                <w:rFonts w:ascii="Times New Roman" w:hAnsi="Times New Roman" w:cs="Times New Roman"/>
                <w:sz w:val="20"/>
                <w:szCs w:val="20"/>
              </w:rPr>
            </w:pPr>
            <w:r w:rsidRPr="006A2159">
              <w:rPr>
                <w:rFonts w:ascii="Times New Roman" w:hAnsi="Times New Roman" w:cs="Times New Roman"/>
                <w:sz w:val="20"/>
                <w:szCs w:val="20"/>
              </w:rPr>
              <w:t>10.1.1.</w:t>
            </w:r>
          </w:p>
        </w:tc>
        <w:tc>
          <w:tcPr>
            <w:tcW w:w="5063" w:type="dxa"/>
          </w:tcPr>
          <w:p w:rsidR="006B0B72" w:rsidRPr="006A2159" w:rsidRDefault="006B0B72" w:rsidP="006B0B72">
            <w:pPr>
              <w:rPr>
                <w:rFonts w:ascii="Times New Roman" w:hAnsi="Times New Roman" w:cs="Times New Roman"/>
                <w:sz w:val="20"/>
                <w:szCs w:val="20"/>
              </w:rPr>
            </w:pPr>
            <w:r w:rsidRPr="006A2159">
              <w:rPr>
                <w:rFonts w:ascii="Times New Roman" w:hAnsi="Times New Roman" w:cs="Times New Roman"/>
                <w:sz w:val="20"/>
                <w:szCs w:val="20"/>
              </w:rPr>
              <w:t>10.1.1.</w:t>
            </w:r>
            <w:r w:rsidRPr="006A2159">
              <w:rPr>
                <w:rFonts w:ascii="Times New Roman" w:hAnsi="Times New Roman" w:cs="Times New Roman"/>
                <w:sz w:val="20"/>
                <w:szCs w:val="20"/>
              </w:rPr>
              <w:tab/>
              <w:t xml:space="preserve">Клиент имеет право подавать Поручения на Непокрытые сделки в случае, если: </w:t>
            </w:r>
          </w:p>
          <w:p w:rsidR="006B0B72" w:rsidRPr="006A2159" w:rsidRDefault="006B0B72" w:rsidP="006B0B72">
            <w:pPr>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Клиент отнесен Банком к одной из категорий: клиент со стандартным уровнем риска (КСУР), клиент с повышенным уровнем риска (КПУР), клиент с особым уровнем риска (КОУР);</w:t>
            </w:r>
          </w:p>
          <w:p w:rsidR="006B0B72" w:rsidRPr="006A2159" w:rsidRDefault="006B0B72" w:rsidP="006B0B72">
            <w:pPr>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 xml:space="preserve">Клиент предоставляет в обеспечение выполнения обязательств по Непокрытой позиции, возникших в результате заключения Непокрытой сделки в интересах Клиента, Ликвидное имущество, принадлежащее Клиенту и/или приобретенные Банком для Клиента в </w:t>
            </w:r>
            <w:r w:rsidRPr="006A2159">
              <w:rPr>
                <w:rFonts w:ascii="Times New Roman" w:hAnsi="Times New Roman" w:cs="Times New Roman"/>
                <w:sz w:val="20"/>
                <w:szCs w:val="20"/>
              </w:rPr>
              <w:lastRenderedPageBreak/>
              <w:t>результате совершения соответствующей Непокрытой сделки;</w:t>
            </w:r>
          </w:p>
          <w:p w:rsidR="006B0B72" w:rsidRPr="006A2159" w:rsidRDefault="006B0B72" w:rsidP="006B0B72">
            <w:pPr>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Клиент предоставляет в обеспечение выполнения обязательств по Непокрытой позиции, возникших в результате заключения Непокрытой сделки, денежные средства, принадлежащие Клиенту и/или полученные в результате совершения соответствующей Непокрытой сделки.</w:t>
            </w:r>
          </w:p>
          <w:p w:rsidR="006B0B72" w:rsidRPr="006A2159" w:rsidRDefault="006B0B72" w:rsidP="006B0B72">
            <w:pPr>
              <w:rPr>
                <w:rFonts w:ascii="Times New Roman" w:hAnsi="Times New Roman" w:cs="Times New Roman"/>
                <w:sz w:val="20"/>
                <w:szCs w:val="20"/>
              </w:rPr>
            </w:pPr>
            <w:r w:rsidRPr="006A2159">
              <w:rPr>
                <w:rFonts w:ascii="Times New Roman" w:hAnsi="Times New Roman" w:cs="Times New Roman"/>
                <w:sz w:val="20"/>
                <w:szCs w:val="20"/>
              </w:rPr>
              <w:t>Клиент имеет право подавать Неторговые поручения, исполнение которых приведет к возникновению или увеличению Непокрытой позиции в случае, если:</w:t>
            </w:r>
          </w:p>
          <w:p w:rsidR="006B0B72" w:rsidRPr="006A2159" w:rsidRDefault="006B0B72" w:rsidP="006B0B72">
            <w:pPr>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Клиент отнесен Банком к одной из категорий: клиент со стандартным уровнем риска (КСУР), клиент с повышенным уровнем риска (КПУР), клиент с особым уровнем риска (КОУР);</w:t>
            </w:r>
          </w:p>
          <w:p w:rsidR="006B0B72" w:rsidRPr="006A2159" w:rsidRDefault="006B0B72" w:rsidP="006B0B72">
            <w:pPr>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Клиент предоставляет в обеспечение выполнения обязательств по Непокрытой позиции, возникших в результате исполнения Неторгового поручения, Ликвидное имущество, принадлежащее Клиенту;</w:t>
            </w:r>
          </w:p>
          <w:p w:rsidR="006B0B72" w:rsidRPr="006A2159" w:rsidRDefault="006B0B72" w:rsidP="006B0B72">
            <w:pPr>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Клиент предоставляет в обеспечение выполнения обязательств по Непокрытой позиции, возникших в результате исполнения Неторгового поручения, денежные средства, принадлежащие Клиенту.</w:t>
            </w:r>
          </w:p>
          <w:p w:rsidR="006B0B72" w:rsidRPr="006A2159" w:rsidRDefault="006B0B72" w:rsidP="006B0B72">
            <w:pPr>
              <w:rPr>
                <w:rFonts w:ascii="Times New Roman" w:hAnsi="Times New Roman" w:cs="Times New Roman"/>
                <w:sz w:val="20"/>
                <w:szCs w:val="20"/>
              </w:rPr>
            </w:pPr>
          </w:p>
          <w:p w:rsidR="006B0B72" w:rsidRPr="006A2159" w:rsidRDefault="006B0B72" w:rsidP="006B0B72">
            <w:pPr>
              <w:rPr>
                <w:rFonts w:ascii="Times New Roman" w:hAnsi="Times New Roman" w:cs="Times New Roman"/>
                <w:sz w:val="20"/>
                <w:szCs w:val="20"/>
              </w:rPr>
            </w:pPr>
            <w:r w:rsidRPr="006A2159">
              <w:rPr>
                <w:rFonts w:ascii="Times New Roman" w:hAnsi="Times New Roman" w:cs="Times New Roman"/>
                <w:sz w:val="20"/>
                <w:szCs w:val="20"/>
              </w:rPr>
              <w:t>Отказ от дальнейшей возможности (или возобновления) совершения Непокрытых сделок осуществляется путем направления Банку в письменном виде заявления на снятие/установление Брокерскому договору статуса «маржинальный» по форме Приложения 31.</w:t>
            </w:r>
          </w:p>
          <w:p w:rsidR="006B0B72" w:rsidRDefault="006B0B72" w:rsidP="006B0B72">
            <w:pPr>
              <w:rPr>
                <w:rFonts w:ascii="Times New Roman" w:hAnsi="Times New Roman" w:cs="Times New Roman"/>
                <w:sz w:val="20"/>
                <w:szCs w:val="20"/>
              </w:rPr>
            </w:pPr>
            <w:r w:rsidRPr="006A2159">
              <w:rPr>
                <w:rFonts w:ascii="Times New Roman" w:hAnsi="Times New Roman" w:cs="Times New Roman"/>
                <w:sz w:val="20"/>
                <w:szCs w:val="20"/>
              </w:rPr>
              <w:t>Банк относит клиентов - физических лиц, не являющихся квалифицированными инвесторами, к категории: клиент со стандартным уровнем риска (КСУР), клиент с повышенным уровнем риска (КПУР) только при условии положительного результата тестирования Клиента - физического лица, в соответствии с пунктом 5.11. настоящего Регламента, в отношении совершения Непокрытых сделок.</w:t>
            </w:r>
          </w:p>
        </w:tc>
        <w:tc>
          <w:tcPr>
            <w:tcW w:w="5386" w:type="dxa"/>
          </w:tcPr>
          <w:p w:rsidR="006B0B72" w:rsidRPr="006A2159" w:rsidRDefault="006B0B72" w:rsidP="006B0B72">
            <w:pPr>
              <w:tabs>
                <w:tab w:val="left" w:pos="1605"/>
              </w:tabs>
              <w:jc w:val="both"/>
              <w:rPr>
                <w:rFonts w:ascii="Times New Roman" w:hAnsi="Times New Roman" w:cs="Times New Roman"/>
                <w:sz w:val="20"/>
                <w:szCs w:val="20"/>
              </w:rPr>
            </w:pPr>
            <w:r>
              <w:rPr>
                <w:rFonts w:ascii="Times New Roman" w:hAnsi="Times New Roman" w:cs="Times New Roman"/>
                <w:sz w:val="20"/>
                <w:szCs w:val="20"/>
              </w:rPr>
              <w:lastRenderedPageBreak/>
              <w:t xml:space="preserve">10.1.1. </w:t>
            </w:r>
            <w:r w:rsidRPr="006A2159">
              <w:rPr>
                <w:rFonts w:ascii="Times New Roman" w:hAnsi="Times New Roman" w:cs="Times New Roman"/>
                <w:sz w:val="20"/>
                <w:szCs w:val="20"/>
              </w:rPr>
              <w:t xml:space="preserve">Клиент имеет право подавать Поручения на Непокрытые сделки в случае, если: </w:t>
            </w:r>
          </w:p>
          <w:p w:rsidR="006B0B72" w:rsidRPr="006A2159" w:rsidRDefault="006B0B72" w:rsidP="006B0B72">
            <w:pPr>
              <w:tabs>
                <w:tab w:val="left" w:pos="1605"/>
              </w:tabs>
              <w:jc w:val="both"/>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Клиент подал заявление на установление брокерскому счету статуса «маржинальный» по форме Приложения 31;</w:t>
            </w:r>
          </w:p>
          <w:p w:rsidR="006B0B72" w:rsidRPr="006A2159" w:rsidRDefault="006B0B72" w:rsidP="006B0B72">
            <w:pPr>
              <w:tabs>
                <w:tab w:val="left" w:pos="1605"/>
              </w:tabs>
              <w:jc w:val="both"/>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Банк установил статус «маржинальный» брокерскому счету Клиента;</w:t>
            </w:r>
          </w:p>
          <w:p w:rsidR="006B0B72" w:rsidRPr="006A2159" w:rsidRDefault="006B0B72" w:rsidP="006B0B72">
            <w:pPr>
              <w:tabs>
                <w:tab w:val="left" w:pos="1605"/>
              </w:tabs>
              <w:jc w:val="both"/>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Клиент предоставляет в обеспечение выполнения обязательств по Непокрытой позиции, возникших в результате заключения Непокрытой сделки в интересах Клиента, Ликвидное имущество, принадлежащее Клиенту и/или приобретенные Банком для Клиента в результате совершения соответствующей Непокрытой сделки;</w:t>
            </w:r>
          </w:p>
          <w:p w:rsidR="006B0B72" w:rsidRPr="006A2159" w:rsidRDefault="006B0B72" w:rsidP="006B0B72">
            <w:pPr>
              <w:tabs>
                <w:tab w:val="left" w:pos="1605"/>
              </w:tabs>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6A2159">
              <w:rPr>
                <w:rFonts w:ascii="Times New Roman" w:hAnsi="Times New Roman" w:cs="Times New Roman"/>
                <w:sz w:val="20"/>
                <w:szCs w:val="20"/>
              </w:rPr>
              <w:t>Клиент предоставляет в обеспечение выполнения обязательств по Непокрытой позиции, возникших в результате заключения Непокрытой сделки, денежные средства, принадлежащие Клиенту и/или полученные в результате совершения соответствующей Непокрытой сделки.</w:t>
            </w:r>
          </w:p>
          <w:p w:rsidR="006B0B72" w:rsidRPr="006A2159" w:rsidRDefault="006B0B72" w:rsidP="006B0B72">
            <w:pPr>
              <w:tabs>
                <w:tab w:val="left" w:pos="1605"/>
              </w:tabs>
              <w:jc w:val="both"/>
              <w:rPr>
                <w:rFonts w:ascii="Times New Roman" w:hAnsi="Times New Roman" w:cs="Times New Roman"/>
                <w:sz w:val="20"/>
                <w:szCs w:val="20"/>
              </w:rPr>
            </w:pPr>
            <w:r w:rsidRPr="006A2159">
              <w:rPr>
                <w:rFonts w:ascii="Times New Roman" w:hAnsi="Times New Roman" w:cs="Times New Roman"/>
                <w:sz w:val="20"/>
                <w:szCs w:val="20"/>
              </w:rPr>
              <w:t>Клиент имеет право подавать Неторговые поручения, исполнение которых приведет к возникновению или увеличению Непокрытой позиции в случае, если:</w:t>
            </w:r>
          </w:p>
          <w:p w:rsidR="006B0B72" w:rsidRPr="006A2159" w:rsidRDefault="006B0B72" w:rsidP="006B0B72">
            <w:pPr>
              <w:tabs>
                <w:tab w:val="left" w:pos="1605"/>
              </w:tabs>
              <w:jc w:val="both"/>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Клиент подал заявление на установление брокерскому счету статуса «маржинальный» по форме Приложения 31;</w:t>
            </w:r>
          </w:p>
          <w:p w:rsidR="006B0B72" w:rsidRPr="006A2159" w:rsidRDefault="006B0B72" w:rsidP="006B0B72">
            <w:pPr>
              <w:tabs>
                <w:tab w:val="left" w:pos="1605"/>
              </w:tabs>
              <w:jc w:val="both"/>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Банк установил статус «маржинальный» брокерскому счету Клиента;</w:t>
            </w:r>
          </w:p>
          <w:p w:rsidR="006B0B72" w:rsidRPr="006A2159" w:rsidRDefault="006B0B72" w:rsidP="006B0B72">
            <w:pPr>
              <w:tabs>
                <w:tab w:val="left" w:pos="1605"/>
              </w:tabs>
              <w:jc w:val="both"/>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Клиент предоставляет в обеспечение выполнения обязательств по Непокрытой позиции, возникших в результате исполнения Неторгового поручения, Ликвидное имущество, принадлежащее Клиенту;</w:t>
            </w:r>
          </w:p>
          <w:p w:rsidR="006B0B72" w:rsidRPr="006A2159" w:rsidRDefault="006B0B72" w:rsidP="006B0B72">
            <w:pPr>
              <w:tabs>
                <w:tab w:val="left" w:pos="1605"/>
              </w:tabs>
              <w:jc w:val="both"/>
              <w:rPr>
                <w:rFonts w:ascii="Times New Roman" w:hAnsi="Times New Roman" w:cs="Times New Roman"/>
                <w:sz w:val="20"/>
                <w:szCs w:val="20"/>
              </w:rPr>
            </w:pPr>
            <w:r>
              <w:rPr>
                <w:rFonts w:ascii="Times New Roman" w:hAnsi="Times New Roman" w:cs="Times New Roman"/>
                <w:sz w:val="20"/>
                <w:szCs w:val="20"/>
              </w:rPr>
              <w:t xml:space="preserve">- </w:t>
            </w:r>
            <w:r w:rsidRPr="006A2159">
              <w:rPr>
                <w:rFonts w:ascii="Times New Roman" w:hAnsi="Times New Roman" w:cs="Times New Roman"/>
                <w:sz w:val="20"/>
                <w:szCs w:val="20"/>
              </w:rPr>
              <w:t>Клиент предоставляет в обеспечение выполнения обязательств по Непокрытой позиции, возникших в результате исполнения Неторгового поручения, денежные средства, принадлежащие Клиенту.</w:t>
            </w:r>
          </w:p>
          <w:p w:rsidR="006B0B72" w:rsidRPr="006A2159" w:rsidRDefault="006B0B72" w:rsidP="006B0B72">
            <w:pPr>
              <w:tabs>
                <w:tab w:val="left" w:pos="1605"/>
              </w:tabs>
              <w:jc w:val="both"/>
              <w:rPr>
                <w:rFonts w:ascii="Times New Roman" w:hAnsi="Times New Roman" w:cs="Times New Roman"/>
                <w:sz w:val="20"/>
                <w:szCs w:val="20"/>
              </w:rPr>
            </w:pPr>
            <w:r w:rsidRPr="006A2159">
              <w:rPr>
                <w:rFonts w:ascii="Times New Roman" w:hAnsi="Times New Roman" w:cs="Times New Roman"/>
                <w:sz w:val="20"/>
                <w:szCs w:val="20"/>
              </w:rPr>
              <w:t>Отказ от дальнейшей возможности (или возобновления) совершения Непокрытых сделок осуществляется путем направления Банку в письменном виде заявления на снятие/установление брокерскому счету статуса «маржинальный» по форме Приложения 31.</w:t>
            </w:r>
          </w:p>
          <w:p w:rsidR="006B0B72" w:rsidRPr="006A2159" w:rsidRDefault="006B0B72" w:rsidP="006B0B72">
            <w:pPr>
              <w:tabs>
                <w:tab w:val="left" w:pos="1605"/>
              </w:tabs>
              <w:jc w:val="both"/>
              <w:rPr>
                <w:rFonts w:ascii="Times New Roman" w:hAnsi="Times New Roman" w:cs="Times New Roman"/>
                <w:sz w:val="20"/>
                <w:szCs w:val="20"/>
              </w:rPr>
            </w:pPr>
            <w:r w:rsidRPr="006A2159">
              <w:rPr>
                <w:rFonts w:ascii="Times New Roman" w:hAnsi="Times New Roman" w:cs="Times New Roman"/>
                <w:sz w:val="20"/>
                <w:szCs w:val="20"/>
              </w:rPr>
              <w:t>Банк устанавливает брокерскому счету статус «маржинальный» для клиентов - физических лиц, не являющихся квалифицированными инвесторами, только при условии положительного результата тестирования Клиента - физического лица, в соответствии с пунктом 5.11. настоящего Регламента, в отношении совершения Непокрытых сделок.</w:t>
            </w:r>
          </w:p>
        </w:tc>
      </w:tr>
      <w:tr w:rsidR="006B0B72" w:rsidRPr="00EB0CBA" w:rsidTr="00B24A1C">
        <w:tc>
          <w:tcPr>
            <w:tcW w:w="581" w:type="dxa"/>
          </w:tcPr>
          <w:p w:rsidR="006B0B72" w:rsidRPr="00EB0CBA" w:rsidRDefault="008158EE" w:rsidP="006B0B72">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2219" w:type="dxa"/>
          </w:tcPr>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6B0B72" w:rsidRDefault="006B0B72" w:rsidP="006B0B72">
            <w:pPr>
              <w:rPr>
                <w:rFonts w:ascii="Times New Roman" w:hAnsi="Times New Roman" w:cs="Times New Roman"/>
                <w:sz w:val="20"/>
                <w:szCs w:val="20"/>
              </w:rPr>
            </w:pPr>
            <w:r w:rsidRPr="006A2159">
              <w:rPr>
                <w:rFonts w:ascii="Times New Roman" w:hAnsi="Times New Roman" w:cs="Times New Roman"/>
                <w:sz w:val="20"/>
                <w:szCs w:val="20"/>
              </w:rPr>
              <w:t>10.2.6.</w:t>
            </w:r>
          </w:p>
        </w:tc>
        <w:tc>
          <w:tcPr>
            <w:tcW w:w="5063" w:type="dxa"/>
          </w:tcPr>
          <w:p w:rsidR="006B0B72" w:rsidRDefault="006B0B72" w:rsidP="006B0B72">
            <w:pPr>
              <w:rPr>
                <w:rFonts w:ascii="Times New Roman" w:hAnsi="Times New Roman" w:cs="Times New Roman"/>
                <w:sz w:val="20"/>
                <w:szCs w:val="20"/>
              </w:rPr>
            </w:pPr>
            <w:r w:rsidRPr="006A2159">
              <w:rPr>
                <w:rFonts w:ascii="Times New Roman" w:hAnsi="Times New Roman" w:cs="Times New Roman"/>
                <w:sz w:val="20"/>
                <w:szCs w:val="20"/>
              </w:rPr>
              <w:t>10.2.6.</w:t>
            </w:r>
            <w:r w:rsidRPr="006A2159">
              <w:rPr>
                <w:rFonts w:ascii="Times New Roman" w:hAnsi="Times New Roman" w:cs="Times New Roman"/>
                <w:sz w:val="20"/>
                <w:szCs w:val="20"/>
              </w:rPr>
              <w:tab/>
              <w:t>Расчеты по Второй части Специальной сделки РЕПО производятся на следующий Торговый день после исполнения обязательств по первой части Специальной сделки РЕПО.</w:t>
            </w:r>
          </w:p>
        </w:tc>
        <w:tc>
          <w:tcPr>
            <w:tcW w:w="5386" w:type="dxa"/>
          </w:tcPr>
          <w:p w:rsidR="006B0B72" w:rsidRPr="006A2159" w:rsidRDefault="006B0B72" w:rsidP="006B0B72">
            <w:pPr>
              <w:tabs>
                <w:tab w:val="left" w:pos="1605"/>
              </w:tabs>
              <w:jc w:val="both"/>
              <w:rPr>
                <w:rFonts w:ascii="Times New Roman" w:hAnsi="Times New Roman" w:cs="Times New Roman"/>
                <w:sz w:val="20"/>
                <w:szCs w:val="20"/>
              </w:rPr>
            </w:pPr>
            <w:r>
              <w:rPr>
                <w:rFonts w:ascii="Times New Roman" w:hAnsi="Times New Roman" w:cs="Times New Roman"/>
                <w:sz w:val="20"/>
                <w:szCs w:val="20"/>
              </w:rPr>
              <w:t xml:space="preserve">10.2.6. </w:t>
            </w:r>
            <w:r w:rsidRPr="006A2159">
              <w:rPr>
                <w:rFonts w:ascii="Times New Roman" w:hAnsi="Times New Roman" w:cs="Times New Roman"/>
                <w:sz w:val="20"/>
                <w:szCs w:val="20"/>
              </w:rPr>
              <w:t>Расчеты по Второй части Специальной сделки РЕПО производятся на следующий Торговый день, в который проводятся расчеты с Ценной бумагой в сделке РЕПО, после исполнения обязательств по первой части Специальной сделки РЕПО.</w:t>
            </w:r>
          </w:p>
        </w:tc>
      </w:tr>
      <w:tr w:rsidR="006B0B72" w:rsidRPr="000842C1" w:rsidTr="00C873C8">
        <w:tc>
          <w:tcPr>
            <w:tcW w:w="581" w:type="dxa"/>
          </w:tcPr>
          <w:p w:rsidR="006B0B72" w:rsidRDefault="008158EE" w:rsidP="006B0B72">
            <w:pPr>
              <w:rPr>
                <w:rFonts w:ascii="Times New Roman" w:hAnsi="Times New Roman" w:cs="Times New Roman"/>
                <w:sz w:val="20"/>
                <w:szCs w:val="20"/>
              </w:rPr>
            </w:pPr>
            <w:r>
              <w:rPr>
                <w:rFonts w:ascii="Times New Roman" w:hAnsi="Times New Roman" w:cs="Times New Roman"/>
                <w:sz w:val="20"/>
                <w:szCs w:val="20"/>
              </w:rPr>
              <w:lastRenderedPageBreak/>
              <w:t>6.</w:t>
            </w:r>
          </w:p>
        </w:tc>
        <w:tc>
          <w:tcPr>
            <w:tcW w:w="2219" w:type="dxa"/>
          </w:tcPr>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РЕГЛАМЕНТ</w:t>
            </w:r>
          </w:p>
          <w:p w:rsidR="006B0B72" w:rsidRPr="00EB0CBA"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ОКАЗАНИЯ УСЛУГ НА ФИНАНСОВЫХ РЫНКАХ</w:t>
            </w:r>
          </w:p>
          <w:p w:rsidR="006B0B72" w:rsidRDefault="006B0B72" w:rsidP="006B0B72">
            <w:pPr>
              <w:rPr>
                <w:rFonts w:ascii="Times New Roman" w:hAnsi="Times New Roman" w:cs="Times New Roman"/>
                <w:sz w:val="20"/>
                <w:szCs w:val="20"/>
              </w:rPr>
            </w:pPr>
            <w:r w:rsidRPr="00EB0CBA">
              <w:rPr>
                <w:rFonts w:ascii="Times New Roman" w:hAnsi="Times New Roman" w:cs="Times New Roman"/>
                <w:sz w:val="20"/>
                <w:szCs w:val="20"/>
              </w:rPr>
              <w:t>ПАО «СОВКОМБАНК</w:t>
            </w:r>
            <w:r>
              <w:rPr>
                <w:rFonts w:ascii="Times New Roman" w:hAnsi="Times New Roman" w:cs="Times New Roman"/>
                <w:sz w:val="20"/>
                <w:szCs w:val="20"/>
              </w:rPr>
              <w:t>»</w:t>
            </w:r>
          </w:p>
        </w:tc>
        <w:tc>
          <w:tcPr>
            <w:tcW w:w="2197" w:type="dxa"/>
          </w:tcPr>
          <w:p w:rsidR="006B0B72" w:rsidRDefault="006B0B72" w:rsidP="006B0B72">
            <w:pPr>
              <w:rPr>
                <w:rFonts w:ascii="Times New Roman" w:hAnsi="Times New Roman" w:cs="Times New Roman"/>
                <w:sz w:val="20"/>
                <w:szCs w:val="20"/>
              </w:rPr>
            </w:pPr>
            <w:r w:rsidRPr="006A2159">
              <w:rPr>
                <w:rFonts w:ascii="Times New Roman" w:hAnsi="Times New Roman" w:cs="Times New Roman"/>
                <w:sz w:val="20"/>
                <w:szCs w:val="20"/>
              </w:rPr>
              <w:t>10.6.</w:t>
            </w:r>
          </w:p>
        </w:tc>
        <w:tc>
          <w:tcPr>
            <w:tcW w:w="5063" w:type="dxa"/>
          </w:tcPr>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 </w:t>
            </w:r>
            <w:r w:rsidRPr="00CC59C2">
              <w:rPr>
                <w:rFonts w:ascii="Times New Roman" w:hAnsi="Times New Roman" w:cs="Times New Roman"/>
                <w:kern w:val="20"/>
                <w:sz w:val="20"/>
                <w:szCs w:val="20"/>
              </w:rPr>
              <w:t>ПОРЯДОК ОТНЕСЕНИЯ КЛИЕНТОВ К РАЗЛИЧНЫМ КАТЕГОРИЯМ КЛИЕНТОВ</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10.6.1. </w:t>
            </w:r>
            <w:r w:rsidRPr="00CC59C2">
              <w:rPr>
                <w:rFonts w:ascii="Times New Roman" w:hAnsi="Times New Roman" w:cs="Times New Roman"/>
                <w:kern w:val="20"/>
                <w:sz w:val="20"/>
                <w:szCs w:val="20"/>
              </w:rPr>
              <w:t>Требования к расчету стоимости Портфеля Клиента и размера Начальной маржи могут различаться в зависимости от категории, к которой относится этот Клиент в соответствии с данным Регламентом. Клиент может быть отнесен к следующим категориям клиентов:</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Клиент без права заключения Непокрытых сделок — Клиент, который не отнесен Банком к Клиентам со стандартным уровнем риска, Клиентам с повышенным уровнем риска и Клиентам с особым уровнем риска. Непокрытые позиции у такого Клиента могут возникнуть только в случаях, установленных пунктом 10.1.8 Регламента.</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10.6.2. </w:t>
            </w:r>
            <w:r w:rsidRPr="00CC59C2">
              <w:rPr>
                <w:rFonts w:ascii="Times New Roman" w:hAnsi="Times New Roman" w:cs="Times New Roman"/>
                <w:kern w:val="20"/>
                <w:sz w:val="20"/>
                <w:szCs w:val="20"/>
              </w:rPr>
              <w:t>Клиент со стандартным уровнем риска (КСУР) - Клиент, у которого в Заявлении о присоединении к Регламенту оказания услуг на финансовых рынках предусмотрена возможность подачи Поручений на Непокрытые сделки или, который подал Заявление по форме Приложения 31 на установление брокерскому счету статуса «маржинальный», но при этом не отнесенный к Клиентам с повышенным уровнем риска и Клиентам с особым уровнем риска.</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Заявление на установление брокерскому счету статуса «маржинальный» Клиент может подать, если в Анкете Клиента указан адрес электронной почты для получения сообщений от Банка и/или получен доступ к ЭСУД и/или к Системе ДБО.</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Присвоении статуса «маржинальный» остается на усмотрение Банка.</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для клиентов со стандартным уровнем риска с учетом особенностей, установленных пунктом 10.4.1 Регламента.</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10.6.3. </w:t>
            </w:r>
            <w:r w:rsidRPr="00CC59C2">
              <w:rPr>
                <w:rFonts w:ascii="Times New Roman" w:hAnsi="Times New Roman" w:cs="Times New Roman"/>
                <w:kern w:val="20"/>
                <w:sz w:val="20"/>
                <w:szCs w:val="20"/>
              </w:rPr>
              <w:t>Клиент с повышенным уровнем риска (КПУР) — клиент, соответствующий требованиям пункта 10.6.2 Регламента и которому присвоен статус КПУР в соответствии с требованиями данного раздела Регламента.</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 xml:space="preserve">Стоимость Портфеля клиента, размер Начальной маржи и размер Минимальной маржи рассчитываются в отношении такого Клиента в порядке, предусмотренном </w:t>
            </w:r>
            <w:r w:rsidRPr="00CC59C2">
              <w:rPr>
                <w:rFonts w:ascii="Times New Roman" w:hAnsi="Times New Roman" w:cs="Times New Roman"/>
                <w:kern w:val="20"/>
                <w:sz w:val="20"/>
                <w:szCs w:val="20"/>
              </w:rPr>
              <w:lastRenderedPageBreak/>
              <w:t>Едиными требованиями, но при этом значения ставок риска по Ликвидному имуществу, используемые для расчета Начальной маржи, в отношении этих Клиентов могут быть снижены Банком.</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10.6.4. </w:t>
            </w:r>
            <w:r w:rsidRPr="00CC59C2">
              <w:rPr>
                <w:rFonts w:ascii="Times New Roman" w:hAnsi="Times New Roman" w:cs="Times New Roman"/>
                <w:kern w:val="20"/>
                <w:sz w:val="20"/>
                <w:szCs w:val="20"/>
              </w:rPr>
              <w:t>Клиент с особым уровнем риска (КОУР) — Клиент (юридическое лицо), который подал Заявление на включение в категорию клиентов с особым уровнем риска (КОУР) при совершении Непокрытых сделок по форме Приложения 38 и с которым заключено дополнительное соглашение к Договору.</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Включение в категорию клиентов с особым уровнем риска (КОУР) остается на усмотрение Банка.</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этим дополнительным соглашением.</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В отношении Клиентов с особым уровнем риска могут не применяться следующие ограничения и требования:</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CC59C2">
              <w:rPr>
                <w:rFonts w:ascii="Times New Roman" w:hAnsi="Times New Roman" w:cs="Times New Roman"/>
                <w:kern w:val="20"/>
                <w:sz w:val="20"/>
                <w:szCs w:val="20"/>
              </w:rPr>
              <w:t>запрет на подачу Поручений на Непокрытые Сделки по Ликвидному имуществу, которое определяется в соответствии с пунктами 4 и 5 Единых требований;</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CC59C2">
              <w:rPr>
                <w:rFonts w:ascii="Times New Roman" w:hAnsi="Times New Roman" w:cs="Times New Roman"/>
                <w:kern w:val="20"/>
                <w:sz w:val="20"/>
                <w:szCs w:val="20"/>
              </w:rPr>
              <w:t>запрет на исполнение Поручений Клиента, влекущих за собой возникновение или увеличение в абсолютном выражении Непокрытой позиции по Ценной бумаге, не включенной в список Ценных бумаг для коротких продаж (пункт 10.1.5 Регламента):</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CC59C2">
              <w:rPr>
                <w:rFonts w:ascii="Times New Roman" w:hAnsi="Times New Roman" w:cs="Times New Roman"/>
                <w:kern w:val="20"/>
                <w:sz w:val="20"/>
                <w:szCs w:val="20"/>
              </w:rPr>
              <w:t>запрет на совершение Банком в отношении Портфеля Клиента действий, в результате которых стоимость указанного Портфеля Клиента станет меньше соответствующего ему размера Начальной маржи, или в результате которых положительная разница между размером Начальной маржи и стоимостью Портфеля Клиента увеличится (пункт 10.4.4 Регламента);</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CC59C2">
              <w:rPr>
                <w:rFonts w:ascii="Times New Roman" w:hAnsi="Times New Roman" w:cs="Times New Roman"/>
                <w:kern w:val="20"/>
                <w:sz w:val="20"/>
                <w:szCs w:val="20"/>
              </w:rPr>
              <w:t>обязанность Банка осуществить закрытие позиций Клиента, если стоимость Портфеля Клиента стала меньше соответствующего ему размера Минимальной маржи (пункт 10.4.6 Регламента).</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10.6.5. </w:t>
            </w:r>
            <w:r w:rsidRPr="00CC59C2">
              <w:rPr>
                <w:rFonts w:ascii="Times New Roman" w:hAnsi="Times New Roman" w:cs="Times New Roman"/>
                <w:kern w:val="20"/>
                <w:sz w:val="20"/>
                <w:szCs w:val="20"/>
              </w:rPr>
              <w:t xml:space="preserve">Клиент — юридическое лицо относится Банком к категории КПУР и исключается из указанной категории на основании Заявления на включение в категорию клиентов КПУР по форме Приложения 32, полученного Банком любым из способов, описанных в разделе 3 данного Регламента, либо по решению Банка, принятому </w:t>
            </w:r>
            <w:r w:rsidRPr="00CC59C2">
              <w:rPr>
                <w:rFonts w:ascii="Times New Roman" w:hAnsi="Times New Roman" w:cs="Times New Roman"/>
                <w:kern w:val="20"/>
                <w:sz w:val="20"/>
                <w:szCs w:val="20"/>
              </w:rPr>
              <w:lastRenderedPageBreak/>
              <w:t>Банком</w:t>
            </w:r>
            <w:r>
              <w:rPr>
                <w:rFonts w:ascii="Times New Roman" w:hAnsi="Times New Roman" w:cs="Times New Roman"/>
                <w:kern w:val="20"/>
                <w:sz w:val="20"/>
                <w:szCs w:val="20"/>
              </w:rPr>
              <w:t xml:space="preserve"> </w:t>
            </w:r>
            <w:r w:rsidRPr="00CC59C2">
              <w:rPr>
                <w:rFonts w:ascii="Times New Roman" w:hAnsi="Times New Roman" w:cs="Times New Roman"/>
                <w:kern w:val="20"/>
                <w:sz w:val="20"/>
                <w:szCs w:val="20"/>
              </w:rPr>
              <w:t>самостоятельно, без получения соответствующего Заявления от Клиента.</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Любой Клиент — юридическое лицо, заключая Договор, предоставляет Банку право отнести его к Клиентам с повышенным уровнем риска.</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По факту включения Клиента – юридического лица в категорию КПУР, Банк направляет Клиенту Уведомление об установлении категории Клиенту при совершении маржинальных сделок (по форме Приложения 33), по электронной почте Клиента, указанной в Анкете Клиента. В случае включения Клиента – юридического лица в категорию КПУР по инициативе Банка, Клиент - юридическое лицо считается включенным в категорию КПУР с даты получения Уведомления об установлении категории Клиенту при совершении маржинальных сделок (по форме Приложения 33) на бумажном носителе.</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10.6.6. </w:t>
            </w:r>
            <w:r w:rsidRPr="00CC59C2">
              <w:rPr>
                <w:rFonts w:ascii="Times New Roman" w:hAnsi="Times New Roman" w:cs="Times New Roman"/>
                <w:kern w:val="20"/>
                <w:sz w:val="20"/>
                <w:szCs w:val="20"/>
              </w:rPr>
              <w:t>Клиент — физическое лицо относится Банком к категории КПУР и исключается из указанной категории на основании Заявления на включение в категорию клиентов КПУР по форме Приложения 32, полученного Банком любым из способов, описанных в разделе 3 данного Регламента, либо по решению Банка, принятому Банком самостоятельно. Отнесение Клиента-физического лица к категории КПУР производится при условии, что в отношении данного Клиента выполняется один из следующих вариантов:</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Вариант 1 (соблюдение одного условия):</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3 000 000 (трех миллионов) рублей по состоянию на день, предшествующий дню, с которого это лицо считается отнесенным к категории КПУР;</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Вариант 2 (одновременное соблюдение двух условий):</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CC59C2">
              <w:rPr>
                <w:rFonts w:ascii="Times New Roman" w:hAnsi="Times New Roman" w:cs="Times New Roman"/>
                <w:kern w:val="20"/>
                <w:sz w:val="20"/>
                <w:szCs w:val="20"/>
              </w:rPr>
              <w:t xml:space="preserve">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600 000 (шестисот тысяч) </w:t>
            </w:r>
            <w:r w:rsidRPr="00CC59C2">
              <w:rPr>
                <w:rFonts w:ascii="Times New Roman" w:hAnsi="Times New Roman" w:cs="Times New Roman"/>
                <w:kern w:val="20"/>
                <w:sz w:val="20"/>
                <w:szCs w:val="20"/>
              </w:rPr>
              <w:lastRenderedPageBreak/>
              <w:t>рублей по состоянию на день, предшествующий дню, с которого это лицо считается отнесенным к категории КПУР;</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CC59C2">
              <w:rPr>
                <w:rFonts w:ascii="Times New Roman" w:hAnsi="Times New Roman" w:cs="Times New Roman"/>
                <w:kern w:val="20"/>
                <w:sz w:val="20"/>
                <w:szCs w:val="20"/>
              </w:rPr>
              <w:t>физическое лицо является клиентом Банка или иных брокеров в течение последних 180 дней, предшествующих дню принятия указанного решения, из которых не менее пяти дней за счет этого лица брокером (брокерами) заключались договоры с ценными бумагами или договоры, являющиеся производными финансовыми инструментами.</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По факту включения Клиента – физического лица в категорию КПУР, Банк направляет Клиенту Уведомление об установлении категории Клиенту при совершении маржинальных сделок (по форме Приложения 33), по электронной почте Клиента, указанной в Анкете Клиента. В случае включения Клиента – физического лица в категорию КПУР по инициативе Банка, Клиент - физическое лица считается включенным в категорию КПУР с даты получения Уведомления об установлении категории Клиенту при совершении маржинальных сделок (по форме Приложения 33) на бумажном носителе.</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10.6.7. </w:t>
            </w:r>
            <w:r w:rsidRPr="00CC59C2">
              <w:rPr>
                <w:rFonts w:ascii="Times New Roman" w:hAnsi="Times New Roman" w:cs="Times New Roman"/>
                <w:kern w:val="20"/>
                <w:sz w:val="20"/>
                <w:szCs w:val="20"/>
              </w:rPr>
              <w:t>Общая стоимость Активов Клиента (в том числе стоимость Ценных бумаг Кл</w:t>
            </w:r>
            <w:r>
              <w:rPr>
                <w:rFonts w:ascii="Times New Roman" w:hAnsi="Times New Roman" w:cs="Times New Roman"/>
                <w:kern w:val="20"/>
                <w:sz w:val="20"/>
                <w:szCs w:val="20"/>
              </w:rPr>
              <w:t xml:space="preserve">иента) для целей пункта 10.6.6. </w:t>
            </w:r>
            <w:r w:rsidRPr="00CC59C2">
              <w:rPr>
                <w:rFonts w:ascii="Times New Roman" w:hAnsi="Times New Roman" w:cs="Times New Roman"/>
                <w:kern w:val="20"/>
                <w:sz w:val="20"/>
                <w:szCs w:val="20"/>
              </w:rPr>
              <w:t>Регламента определяется в соответствии с Законодательством (пункт 31 Единых требований).</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Для подтверждения факта нахождения Клиента на брокерском обслуживании в течение последних 180 дней и факта заключения Сделок Банк использует данные внутреннего учета либо (в случае, если Клиент находился на обслуживании у другого брокера) требует от Клиента предоставления выписки из реестра, заверенной печатью и подписью другого брокера.</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После отнесения Клиента к той или иной категории Банк осуществляет изменение значений ставок риска по Ликвидному имуществу, предоставляемым Клиенту для ознакомления в Рабочем месте QUIK и/или через Систему ДБО.</w:t>
            </w:r>
          </w:p>
          <w:p w:rsidR="006B0B72" w:rsidRPr="00CC59C2"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10.6.8. </w:t>
            </w:r>
            <w:r w:rsidRPr="00CC59C2">
              <w:rPr>
                <w:rFonts w:ascii="Times New Roman" w:hAnsi="Times New Roman" w:cs="Times New Roman"/>
                <w:kern w:val="20"/>
                <w:sz w:val="20"/>
                <w:szCs w:val="20"/>
              </w:rPr>
              <w:t>Банк вправе отказать Клиенту в присвоении какой-либо категории риска (клиент со стандартным уровнем риска (КСУР)/клиент с повышенным уровнем риска (КПУР)/клиент с особым уровнем риска (КОУР)) без объяснения причин.</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lastRenderedPageBreak/>
              <w:t>Клиент, отнесенный Банком к категории КПУР, может быть исключен из этой категории по требованию Клиента (Приложение 32). В этом случае повторное отнесение к категории КПУР производится после получения Банком от Клиента Заявления на включение в категорию КПУР (в отношении физических лиц также при соблюдении Условий, указанных в пункте 10.6.6. Регламента, но не ранее окончания рабочего дня, в который произошло исключение Клиента из категории КПУР).</w:t>
            </w:r>
          </w:p>
          <w:p w:rsidR="006B0B72" w:rsidRPr="00CC59C2" w:rsidRDefault="006B0B72" w:rsidP="006B0B72">
            <w:pPr>
              <w:tabs>
                <w:tab w:val="left" w:pos="1605"/>
              </w:tabs>
              <w:jc w:val="both"/>
              <w:rPr>
                <w:rFonts w:ascii="Times New Roman" w:hAnsi="Times New Roman" w:cs="Times New Roman"/>
                <w:kern w:val="20"/>
                <w:sz w:val="20"/>
                <w:szCs w:val="20"/>
              </w:rPr>
            </w:pPr>
            <w:r w:rsidRPr="00CC59C2">
              <w:rPr>
                <w:rFonts w:ascii="Times New Roman" w:hAnsi="Times New Roman" w:cs="Times New Roman"/>
                <w:kern w:val="20"/>
                <w:sz w:val="20"/>
                <w:szCs w:val="20"/>
              </w:rPr>
              <w:t>Банк вправе исключить Клиента из категорий: клиент со стандартным уровнем риска (КСУР), клиент с повышенным уровнем риска (КПУР), по своему решению, принятому самостоятельно, без объяснения причин. Банк уведомляет Клиента об его исключении из категорий: клиент со стандартным уровнем риска (КСУР), клиент с повышенным уровнем риска (КПУР), путем направления в адрес Клиента уведомления об исключении Клиента из категорий: клиент со стандартным уровнем риска (КСУР), клиент с повышенным уровнем риска (КПУР), в произвольной форме, на адрес электронной почты Клиента, указанный в Анкете Клиента.</w:t>
            </w:r>
          </w:p>
        </w:tc>
        <w:tc>
          <w:tcPr>
            <w:tcW w:w="5386" w:type="dxa"/>
          </w:tcPr>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lastRenderedPageBreak/>
              <w:t xml:space="preserve">10.6. </w:t>
            </w:r>
            <w:r w:rsidRPr="006A2159">
              <w:rPr>
                <w:rFonts w:ascii="Times New Roman" w:hAnsi="Times New Roman" w:cs="Times New Roman"/>
                <w:kern w:val="20"/>
                <w:sz w:val="20"/>
                <w:szCs w:val="20"/>
              </w:rPr>
              <w:t>ПОРЯДОК ОТНЕСЕНИЯ КЛИЕНТОВ К РАЗЛИЧНЫМ КАТЕГОРИЯМ КЛИЕНТОВ</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10.6.1. </w:t>
            </w:r>
            <w:r w:rsidRPr="006A2159">
              <w:rPr>
                <w:rFonts w:ascii="Times New Roman" w:hAnsi="Times New Roman" w:cs="Times New Roman"/>
                <w:kern w:val="20"/>
                <w:sz w:val="20"/>
                <w:szCs w:val="20"/>
              </w:rPr>
              <w:t>Требования к расчету стоимости Портфеля Клиента и размера Начальной маржи могут различаться в зависимости от категории, к которой относится этот Клиент в соответствии с данным Регламентом, а также от статуса брокерского счета Клиента. Брокерскому счету могут быть установлены следующие статусы:</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«не маржинальный», - брокерский счет, по которому у Клиента нет права заключения Непокрытых сделок и/или подачи поручений на проведение Неторговых операций, приводящих к возникновению или увеличению Непокрытой позиции. Непокрытые позиции по такому брокерскому счету могут возникнуть только в случаях, установленных пунктом 10.1.8 Регламента.</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«маржинальный», - брокерский счет, по которому у Клиента есть право для заключения Непокрытых сделок и/или подачу поручений на проведение Неторговых операций, приводящих к возникновению или увеличению Непокрытой позиции.</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Заявление на установление брокерскому счету статуса «маржинальный» Клиент может подать, если в Анкете Клиента указан адрес электронной почты для получения сообщений от Банка и/или Клиентом получен доступ к ЭСУД и/или к Системе ДБО.</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Установление статуса «маржинальный» остается на усмотрение Банка, при этом для Клиента - физического лица, не являющегося квалифицированным инвестором, производится только при условии положительного результата тестирования в соответствии с пунктом 5.11. настоящего Регламента, в отношении совершения Непокрытых сделок.</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10.6.2. </w:t>
            </w:r>
            <w:r w:rsidRPr="006A2159">
              <w:rPr>
                <w:rFonts w:ascii="Times New Roman" w:hAnsi="Times New Roman" w:cs="Times New Roman"/>
                <w:kern w:val="20"/>
                <w:sz w:val="20"/>
                <w:szCs w:val="20"/>
              </w:rPr>
              <w:t>Клиент может быть отнесен к следующим категориям клиентов:</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Клиент со стандартным уровнем риска (КСУР);</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w:t>
            </w: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Клиент с повышенным уровнем риска (КПУР);</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w:t>
            </w: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Клиент с особым уровнем риска (КОУР) – только для клиентов-юридических лиц.</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В случае наличия нескольких договоров на брокерское обслуживание с Клиентом, Банк учитывает установленную категорию Клиента по всем договорам на брокерское обслуживание, которым установлен статус «маржинальный».</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lastRenderedPageBreak/>
              <w:t>10.6.3. Клиент со стандартным уровнем риска (КСУР) - Клиент, не отнесенный Банком к Клиентам с повышенным уровнем риска и Клиентам с особым уровнем риска.</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для клиентов со стандартным уровнем риска с учетом особенностей, установленных разделом 10.4 Регламента.</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10.6.4. </w:t>
            </w:r>
            <w:r w:rsidRPr="006A2159">
              <w:rPr>
                <w:rFonts w:ascii="Times New Roman" w:hAnsi="Times New Roman" w:cs="Times New Roman"/>
                <w:kern w:val="20"/>
                <w:sz w:val="20"/>
                <w:szCs w:val="20"/>
              </w:rPr>
              <w:t>Клиент с повышенным уровнем риска (КПУР) —</w:t>
            </w:r>
            <w:r>
              <w:rPr>
                <w:rFonts w:ascii="Times New Roman" w:hAnsi="Times New Roman" w:cs="Times New Roman"/>
                <w:kern w:val="20"/>
                <w:sz w:val="20"/>
                <w:szCs w:val="20"/>
              </w:rPr>
              <w:t xml:space="preserve"> Клиент, отнесенный Банком</w:t>
            </w:r>
            <w:r w:rsidRPr="006A2159">
              <w:rPr>
                <w:rFonts w:ascii="Times New Roman" w:hAnsi="Times New Roman" w:cs="Times New Roman"/>
                <w:kern w:val="20"/>
                <w:sz w:val="20"/>
                <w:szCs w:val="20"/>
              </w:rPr>
              <w:t xml:space="preserve"> к категории КПУР в соответствии с условиями Единых требований и настоящего Регламента.</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для клиентов с повышенным уровнем риска с учетом особенностей, установленных разделом 10.4 Регламента.</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Клиент — юридическое лицо относится Банком к категории КПУР и исключается из указанной категории на основании Заявления на включение в категорию клиентов КПУР по форме Приложения 32, полученного Банком любым из способов, описанных в разделе 3 данного Регламента, либо по решению Банка, принятому Банком самостоятельно, без получения соответствующего Заявления от Клиента.</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Клиент — физическое лицо относится Банком к категории КПУР и исключается из указанной категории на основании Заявления на включение в категорию клиентов КПУР по форме Приложения 32, полученного Банком любым из способов, описанных в разделе 3 данного Регламента, либо по решению Банка, принятому Банком самостоятельно. Отнесение Клиента-физического лица к категории КПУР производится при условии, что в отношении данного Клиента выполняется один из следующих вариантов:</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Вариант 1 (соблюдение одного условия):</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3 000 000 (трех миллионов) рублей по состоянию на день, предшествующий дню, с которого это лицо считается отнесенным к категории КПУР;</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lastRenderedPageBreak/>
              <w:t>Вариант 2 (одновременное соблюдение двух условий):</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общая стоимость Активов Клиента (то есть сумма денежных средств (в валюте Российской Федерации и иностранной валюте), стоимость ценных бумаг и драгоценных металлов, учитываемая на счетах внутреннего учета, открытых Банком указанному Клиенту), составляет не менее 600 000 (шестисот тысяч) рублей по состоянию на день, предшествующий дню, с которого это лицо считается отнесенным к категории КПУР;</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 xml:space="preserve">физическое лицо является клиентом Банка или иных брокеров в течение последних 180 дней, предшествующих дню принятия указанного решения, из которых не менее пяти дней за счет этого лица брокером (брокерами) заключались договоры с ценными бумагами или договоры, являющиеся производными финансовыми инструментами. </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10.6.5. </w:t>
            </w:r>
            <w:r w:rsidRPr="006A2159">
              <w:rPr>
                <w:rFonts w:ascii="Times New Roman" w:hAnsi="Times New Roman" w:cs="Times New Roman"/>
                <w:kern w:val="20"/>
                <w:sz w:val="20"/>
                <w:szCs w:val="20"/>
              </w:rPr>
              <w:t>Клиент с особым уровнем риска (КОУР) — Клиент - юридическое лицо, отнесенный Банком к категории КОУР в соответствии с требованиями данного раздела Регламента.</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Стоимость Портфеля клиента, размер Начальной маржи и размер Минимальной маржи рассчитываются в отношении такого Клиента в порядке, предусмотренном Едиными требованиями как для Клиентов с повышенным уровнем риска, если иной порядок не определен соглашением с данным Клиентом.</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В отношении Клиентов с особым уровнем риска могут не применяться следующие ограничения и требования:</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запрет на подачу Поручений на Непокрытые Сделки по Ликвидному имуществу, которое определяется в соответствии с пунктами 4 и 5 Единых требований;</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запрет на исполнение Поручений Клиента, влекущих за собой возникновение или увеличение в абсолютном выражении Непокрытой позиции по Ценной бумаге, не включенной в список Ценных бумаг для коротких продаж (пункт 10.1.5 Регламента):</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запрет на совершение Банком в отношении Портфеля Клиента действий, в результате которых стоимость указанного Портфеля Клиента станет меньше соответствующего ему размера Начальной маржи, или в результате которых положительная разница между размером Начальной маржи и стоимостью Портфеля Клиента увеличится (пункт 10.4.4 Регламента);</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 </w:t>
            </w:r>
            <w:r w:rsidRPr="006A2159">
              <w:rPr>
                <w:rFonts w:ascii="Times New Roman" w:hAnsi="Times New Roman" w:cs="Times New Roman"/>
                <w:kern w:val="20"/>
                <w:sz w:val="20"/>
                <w:szCs w:val="20"/>
              </w:rPr>
              <w:t xml:space="preserve">обязанность Банка осуществить закрытие позиций Клиента, если стоимость Портфеля Клиента стала меньше </w:t>
            </w:r>
            <w:r w:rsidRPr="006A2159">
              <w:rPr>
                <w:rFonts w:ascii="Times New Roman" w:hAnsi="Times New Roman" w:cs="Times New Roman"/>
                <w:kern w:val="20"/>
                <w:sz w:val="20"/>
                <w:szCs w:val="20"/>
              </w:rPr>
              <w:lastRenderedPageBreak/>
              <w:t>соответствующего ему размера Минимальной маржи (пункт 10.4.6 Регламента).</w:t>
            </w:r>
            <w:r w:rsidRPr="006A2159">
              <w:rPr>
                <w:rFonts w:ascii="Times New Roman" w:hAnsi="Times New Roman" w:cs="Times New Roman"/>
                <w:kern w:val="20"/>
                <w:sz w:val="20"/>
                <w:szCs w:val="20"/>
              </w:rPr>
              <w:tab/>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Клиент — юридическое лицо относится Банком к категории КОУР и исключается из указанной категории на основании Заявления на включение в категорию клиентов КОУР по форме Приложения 38, полученного Банком любым из способов, описанных в разделе 3 данного Регламента.</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Включение в категорию клиентов с особым уровнем риска остается на усмотрение Банка.</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10.6.6. Информация о текущей категории риска Клиента отображается в Рабочем месте «QUIK» и системе ДБО по брокерскому счету Клиента, которому присвоен статус «маржинальный».</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После отнесения Клиента к той или иной категории Банк осуществляет изменение значений ставок риска по Ликвидному имуществу, предоставляемым Клиенту для ознакомления в Рабочем месте QUIK и/или через Систему ДБО, по брокерскому счету Клиента, которому присвоен статус «маржинальный».</w:t>
            </w:r>
          </w:p>
          <w:p w:rsidR="006B0B72" w:rsidRPr="006A2159" w:rsidRDefault="006B0B72" w:rsidP="006B0B72">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 xml:space="preserve">10.6.7. </w:t>
            </w:r>
            <w:r w:rsidRPr="006A2159">
              <w:rPr>
                <w:rFonts w:ascii="Times New Roman" w:hAnsi="Times New Roman" w:cs="Times New Roman"/>
                <w:kern w:val="20"/>
                <w:sz w:val="20"/>
                <w:szCs w:val="20"/>
              </w:rPr>
              <w:t>Банк вправе отказать Клиенту в присвоении категорий риска: клиент с повышенным уровнем риска, клиент с особым уровнем риска без объяснения причин.</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 xml:space="preserve">Клиент-физическое лицо отнесенный Банком к категории КПУР, может быть исключен из этой категории по требованию Клиента (Приложение 32). В этом случае Клиент относится к категории КСУР, повторное отнесение к категории КПУР производится после получения Банком от Клиента Заявления на включение в категорию КПУР (в отношении физических лиц также при соблюдении условий Единых требований., </w:t>
            </w:r>
          </w:p>
          <w:p w:rsidR="006B0B72" w:rsidRPr="006A2159" w:rsidRDefault="006B0B72" w:rsidP="006B0B72">
            <w:pPr>
              <w:tabs>
                <w:tab w:val="left" w:pos="1605"/>
              </w:tabs>
              <w:jc w:val="both"/>
              <w:rPr>
                <w:rFonts w:ascii="Times New Roman" w:hAnsi="Times New Roman" w:cs="Times New Roman"/>
                <w:kern w:val="20"/>
                <w:sz w:val="20"/>
                <w:szCs w:val="20"/>
              </w:rPr>
            </w:pPr>
            <w:r w:rsidRPr="006A2159">
              <w:rPr>
                <w:rFonts w:ascii="Times New Roman" w:hAnsi="Times New Roman" w:cs="Times New Roman"/>
                <w:kern w:val="20"/>
                <w:sz w:val="20"/>
                <w:szCs w:val="20"/>
              </w:rPr>
              <w:t>Банк вправе исключить Клиента из категории КПУР по своему решению, принятому самостоятельно, без объяснения причин.</w:t>
            </w:r>
          </w:p>
        </w:tc>
      </w:tr>
      <w:tr w:rsidR="008A2F14" w:rsidRPr="000842C1" w:rsidTr="00C873C8">
        <w:tc>
          <w:tcPr>
            <w:tcW w:w="581" w:type="dxa"/>
          </w:tcPr>
          <w:p w:rsidR="008A2F14" w:rsidRPr="008A2F14" w:rsidRDefault="008A2F14" w:rsidP="008A2F14">
            <w:pPr>
              <w:rPr>
                <w:rFonts w:ascii="Times New Roman" w:hAnsi="Times New Roman" w:cs="Times New Roman"/>
                <w:sz w:val="20"/>
                <w:szCs w:val="20"/>
              </w:rPr>
            </w:pPr>
            <w:r>
              <w:rPr>
                <w:rFonts w:ascii="Times New Roman" w:hAnsi="Times New Roman" w:cs="Times New Roman"/>
                <w:sz w:val="20"/>
                <w:szCs w:val="20"/>
                <w:lang w:val="en-US"/>
              </w:rPr>
              <w:lastRenderedPageBreak/>
              <w:t>7</w:t>
            </w:r>
            <w:r>
              <w:rPr>
                <w:rFonts w:ascii="Times New Roman" w:hAnsi="Times New Roman" w:cs="Times New Roman"/>
                <w:sz w:val="20"/>
                <w:szCs w:val="20"/>
              </w:rPr>
              <w:t>.</w:t>
            </w:r>
          </w:p>
        </w:tc>
        <w:tc>
          <w:tcPr>
            <w:tcW w:w="2219" w:type="dxa"/>
          </w:tcPr>
          <w:p w:rsidR="008A2F14" w:rsidRDefault="008A2F14" w:rsidP="008A2F14">
            <w:pPr>
              <w:rPr>
                <w:rFonts w:ascii="Times New Roman" w:hAnsi="Times New Roman" w:cs="Times New Roman"/>
                <w:sz w:val="20"/>
                <w:szCs w:val="20"/>
              </w:rPr>
            </w:pPr>
            <w:r>
              <w:rPr>
                <w:rFonts w:ascii="Times New Roman" w:hAnsi="Times New Roman" w:cs="Times New Roman"/>
                <w:sz w:val="20"/>
                <w:szCs w:val="20"/>
              </w:rPr>
              <w:t xml:space="preserve">Приложение </w:t>
            </w:r>
            <w:r>
              <w:rPr>
                <w:rFonts w:ascii="Times New Roman" w:hAnsi="Times New Roman" w:cs="Times New Roman"/>
                <w:sz w:val="20"/>
                <w:szCs w:val="20"/>
              </w:rPr>
              <w:t>7</w:t>
            </w:r>
          </w:p>
        </w:tc>
        <w:tc>
          <w:tcPr>
            <w:tcW w:w="2197" w:type="dxa"/>
          </w:tcPr>
          <w:p w:rsidR="008A2F14" w:rsidRPr="006A2159" w:rsidRDefault="009D4911" w:rsidP="008A2F14">
            <w:pPr>
              <w:rPr>
                <w:rFonts w:ascii="Times New Roman" w:hAnsi="Times New Roman" w:cs="Times New Roman"/>
                <w:sz w:val="20"/>
                <w:szCs w:val="20"/>
              </w:rPr>
            </w:pPr>
            <w:r>
              <w:rPr>
                <w:rFonts w:ascii="Times New Roman" w:hAnsi="Times New Roman" w:cs="Times New Roman"/>
                <w:sz w:val="20"/>
                <w:szCs w:val="20"/>
              </w:rPr>
              <w:t>Изменение в информировании Клиента</w:t>
            </w:r>
          </w:p>
        </w:tc>
        <w:tc>
          <w:tcPr>
            <w:tcW w:w="5063" w:type="dxa"/>
          </w:tcPr>
          <w:p w:rsidR="009D4911" w:rsidRPr="009D4911" w:rsidRDefault="009D4911" w:rsidP="009D4911">
            <w:pPr>
              <w:jc w:val="both"/>
              <w:rPr>
                <w:rFonts w:ascii="Times New Roman" w:hAnsi="Times New Roman" w:cs="Times New Roman"/>
                <w:kern w:val="20"/>
                <w:sz w:val="20"/>
                <w:szCs w:val="20"/>
              </w:rPr>
            </w:pPr>
            <w:r w:rsidRPr="009D4911">
              <w:rPr>
                <w:rFonts w:ascii="Times New Roman" w:hAnsi="Times New Roman" w:cs="Times New Roman"/>
                <w:kern w:val="20"/>
                <w:sz w:val="20"/>
                <w:szCs w:val="20"/>
              </w:rPr>
              <w:t>- о праве Клиента на получение по запросу Клиента информации, указанной в пунктах 2.6 - 2.8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w:t>
            </w:r>
            <w:bookmarkStart w:id="0" w:name="_GoBack"/>
            <w:bookmarkEnd w:id="0"/>
            <w:r w:rsidRPr="009D4911">
              <w:rPr>
                <w:rFonts w:ascii="Times New Roman" w:hAnsi="Times New Roman" w:cs="Times New Roman"/>
                <w:kern w:val="20"/>
                <w:sz w:val="20"/>
                <w:szCs w:val="20"/>
              </w:rPr>
              <w:t>рокеров (утв. Банком России, Протокол от 20.12.2018 № КФНП-39).</w:t>
            </w:r>
          </w:p>
          <w:p w:rsidR="008A2F14" w:rsidRDefault="008A2F14" w:rsidP="008A2F14">
            <w:pPr>
              <w:tabs>
                <w:tab w:val="left" w:pos="1605"/>
              </w:tabs>
              <w:jc w:val="both"/>
              <w:rPr>
                <w:rFonts w:ascii="Times New Roman" w:hAnsi="Times New Roman" w:cs="Times New Roman"/>
                <w:kern w:val="20"/>
                <w:sz w:val="20"/>
                <w:szCs w:val="20"/>
              </w:rPr>
            </w:pPr>
          </w:p>
        </w:tc>
        <w:tc>
          <w:tcPr>
            <w:tcW w:w="5386" w:type="dxa"/>
          </w:tcPr>
          <w:p w:rsidR="008A2F14" w:rsidRDefault="009D4911" w:rsidP="009D4911">
            <w:pPr>
              <w:jc w:val="both"/>
              <w:rPr>
                <w:rFonts w:ascii="Times New Roman" w:hAnsi="Times New Roman" w:cs="Times New Roman"/>
                <w:kern w:val="20"/>
                <w:sz w:val="20"/>
                <w:szCs w:val="20"/>
              </w:rPr>
            </w:pPr>
            <w:r w:rsidRPr="009D4911">
              <w:rPr>
                <w:rFonts w:ascii="Times New Roman" w:hAnsi="Times New Roman" w:cs="Times New Roman"/>
                <w:kern w:val="20"/>
                <w:sz w:val="20"/>
                <w:szCs w:val="20"/>
              </w:rPr>
              <w:t xml:space="preserve">- о праве Клиента на получение по запросу Клиента информации, указанной в пунктах 2.6 - 2.8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w:t>
            </w:r>
          </w:p>
        </w:tc>
      </w:tr>
      <w:tr w:rsidR="008A2F14" w:rsidRPr="000842C1" w:rsidTr="00C873C8">
        <w:tc>
          <w:tcPr>
            <w:tcW w:w="581" w:type="dxa"/>
          </w:tcPr>
          <w:p w:rsidR="008A2F14" w:rsidRDefault="008A2F14" w:rsidP="008A2F14">
            <w:pPr>
              <w:rPr>
                <w:rFonts w:ascii="Times New Roman" w:hAnsi="Times New Roman" w:cs="Times New Roman"/>
                <w:sz w:val="20"/>
                <w:szCs w:val="20"/>
              </w:rPr>
            </w:pPr>
            <w:r>
              <w:rPr>
                <w:rFonts w:ascii="Times New Roman" w:hAnsi="Times New Roman" w:cs="Times New Roman"/>
                <w:sz w:val="20"/>
                <w:szCs w:val="20"/>
              </w:rPr>
              <w:t>8.</w:t>
            </w:r>
          </w:p>
        </w:tc>
        <w:tc>
          <w:tcPr>
            <w:tcW w:w="2219" w:type="dxa"/>
          </w:tcPr>
          <w:p w:rsidR="008A2F14" w:rsidRDefault="008A2F14" w:rsidP="008A2F14">
            <w:pPr>
              <w:rPr>
                <w:rFonts w:ascii="Times New Roman" w:hAnsi="Times New Roman" w:cs="Times New Roman"/>
                <w:sz w:val="20"/>
                <w:szCs w:val="20"/>
              </w:rPr>
            </w:pPr>
            <w:r>
              <w:rPr>
                <w:rFonts w:ascii="Times New Roman" w:hAnsi="Times New Roman" w:cs="Times New Roman"/>
                <w:sz w:val="20"/>
                <w:szCs w:val="20"/>
              </w:rPr>
              <w:t>Приложение 32</w:t>
            </w:r>
          </w:p>
        </w:tc>
        <w:tc>
          <w:tcPr>
            <w:tcW w:w="2197" w:type="dxa"/>
          </w:tcPr>
          <w:p w:rsidR="008A2F14" w:rsidRDefault="008A2F14" w:rsidP="008A2F14">
            <w:pPr>
              <w:rPr>
                <w:rFonts w:ascii="Times New Roman" w:hAnsi="Times New Roman" w:cs="Times New Roman"/>
                <w:sz w:val="20"/>
                <w:szCs w:val="20"/>
              </w:rPr>
            </w:pPr>
            <w:r>
              <w:rPr>
                <w:rFonts w:ascii="Times New Roman" w:hAnsi="Times New Roman" w:cs="Times New Roman"/>
                <w:sz w:val="20"/>
                <w:szCs w:val="20"/>
              </w:rPr>
              <w:t xml:space="preserve">Изменение в названии </w:t>
            </w:r>
          </w:p>
        </w:tc>
        <w:tc>
          <w:tcPr>
            <w:tcW w:w="5063" w:type="dxa"/>
          </w:tcPr>
          <w:p w:rsidR="008A2F14" w:rsidRDefault="008A2F14" w:rsidP="008A2F14">
            <w:pPr>
              <w:rPr>
                <w:rFonts w:ascii="Times New Roman" w:hAnsi="Times New Roman" w:cs="Times New Roman"/>
                <w:sz w:val="20"/>
                <w:szCs w:val="20"/>
              </w:rPr>
            </w:pPr>
            <w:r w:rsidRPr="003C40F2">
              <w:rPr>
                <w:rFonts w:ascii="Times New Roman" w:hAnsi="Times New Roman" w:cs="Times New Roman"/>
                <w:sz w:val="20"/>
                <w:szCs w:val="20"/>
              </w:rPr>
              <w:t>ЗАЯВЛЕНИЕ на включение в категорию/исключение из категории клиентов с повышенным уровнем риска (КПУР) при совершении Необеспеченных сделок</w:t>
            </w:r>
          </w:p>
        </w:tc>
        <w:tc>
          <w:tcPr>
            <w:tcW w:w="5386" w:type="dxa"/>
          </w:tcPr>
          <w:p w:rsidR="008A2F14" w:rsidRPr="003C40F2" w:rsidRDefault="008A2F14" w:rsidP="008A2F14">
            <w:pPr>
              <w:tabs>
                <w:tab w:val="left" w:pos="1605"/>
              </w:tabs>
              <w:jc w:val="both"/>
              <w:rPr>
                <w:rFonts w:ascii="Times New Roman" w:hAnsi="Times New Roman" w:cs="Times New Roman"/>
                <w:kern w:val="20"/>
                <w:sz w:val="20"/>
                <w:szCs w:val="20"/>
              </w:rPr>
            </w:pPr>
            <w:r w:rsidRPr="003C40F2">
              <w:rPr>
                <w:rFonts w:ascii="Times New Roman" w:hAnsi="Times New Roman" w:cs="Times New Roman"/>
                <w:kern w:val="20"/>
                <w:sz w:val="20"/>
                <w:szCs w:val="20"/>
              </w:rPr>
              <w:t>ЗАЯВЛЕНИЕ на включение в категорию/исключение из категории клиентов с повышенным уровнем риска (КПУР)</w:t>
            </w:r>
          </w:p>
        </w:tc>
      </w:tr>
      <w:tr w:rsidR="008A2F14" w:rsidRPr="000842C1" w:rsidTr="00C873C8">
        <w:tc>
          <w:tcPr>
            <w:tcW w:w="581" w:type="dxa"/>
          </w:tcPr>
          <w:p w:rsidR="008A2F14" w:rsidRDefault="008A2F14" w:rsidP="008A2F14">
            <w:pPr>
              <w:rPr>
                <w:rFonts w:ascii="Times New Roman" w:hAnsi="Times New Roman" w:cs="Times New Roman"/>
                <w:sz w:val="20"/>
                <w:szCs w:val="20"/>
              </w:rPr>
            </w:pPr>
            <w:r>
              <w:rPr>
                <w:rFonts w:ascii="Times New Roman" w:hAnsi="Times New Roman" w:cs="Times New Roman"/>
                <w:sz w:val="20"/>
                <w:szCs w:val="20"/>
              </w:rPr>
              <w:t>9.</w:t>
            </w:r>
          </w:p>
        </w:tc>
        <w:tc>
          <w:tcPr>
            <w:tcW w:w="2219" w:type="dxa"/>
          </w:tcPr>
          <w:p w:rsidR="008A2F14" w:rsidRDefault="008A2F14" w:rsidP="008A2F14">
            <w:pPr>
              <w:rPr>
                <w:rFonts w:ascii="Times New Roman" w:hAnsi="Times New Roman" w:cs="Times New Roman"/>
                <w:sz w:val="20"/>
                <w:szCs w:val="20"/>
              </w:rPr>
            </w:pPr>
            <w:r>
              <w:rPr>
                <w:rFonts w:ascii="Times New Roman" w:hAnsi="Times New Roman" w:cs="Times New Roman"/>
                <w:sz w:val="20"/>
                <w:szCs w:val="20"/>
              </w:rPr>
              <w:t>Приложение 33</w:t>
            </w:r>
          </w:p>
        </w:tc>
        <w:tc>
          <w:tcPr>
            <w:tcW w:w="2197" w:type="dxa"/>
          </w:tcPr>
          <w:p w:rsidR="008A2F14" w:rsidRDefault="008A2F14" w:rsidP="008A2F14">
            <w:pPr>
              <w:rPr>
                <w:rFonts w:ascii="Times New Roman" w:hAnsi="Times New Roman" w:cs="Times New Roman"/>
                <w:sz w:val="20"/>
                <w:szCs w:val="20"/>
              </w:rPr>
            </w:pPr>
            <w:r>
              <w:rPr>
                <w:rFonts w:ascii="Times New Roman" w:hAnsi="Times New Roman" w:cs="Times New Roman"/>
                <w:sz w:val="20"/>
                <w:szCs w:val="20"/>
              </w:rPr>
              <w:t>Исключение Приложения</w:t>
            </w:r>
          </w:p>
        </w:tc>
        <w:tc>
          <w:tcPr>
            <w:tcW w:w="5063" w:type="dxa"/>
          </w:tcPr>
          <w:p w:rsidR="008A2F14" w:rsidRDefault="008A2F14" w:rsidP="008A2F14">
            <w:pPr>
              <w:rPr>
                <w:rFonts w:ascii="Times New Roman" w:hAnsi="Times New Roman" w:cs="Times New Roman"/>
                <w:sz w:val="20"/>
                <w:szCs w:val="20"/>
              </w:rPr>
            </w:pPr>
            <w:r w:rsidRPr="003C40F2">
              <w:rPr>
                <w:rFonts w:ascii="Times New Roman" w:hAnsi="Times New Roman" w:cs="Times New Roman"/>
                <w:sz w:val="20"/>
                <w:szCs w:val="20"/>
              </w:rPr>
              <w:t>УВЕДОМЛЕНИЕ об отнесении к категории / исключении из категории клиентов с повышенным уровнем риска (КПУР) при совершении Необеспеченных сделок</w:t>
            </w:r>
          </w:p>
        </w:tc>
        <w:tc>
          <w:tcPr>
            <w:tcW w:w="5386" w:type="dxa"/>
          </w:tcPr>
          <w:p w:rsidR="008A2F14" w:rsidRPr="003C40F2" w:rsidRDefault="008A2F14" w:rsidP="008A2F14">
            <w:pPr>
              <w:tabs>
                <w:tab w:val="left" w:pos="1605"/>
              </w:tabs>
              <w:jc w:val="both"/>
              <w:rPr>
                <w:rFonts w:ascii="Times New Roman" w:hAnsi="Times New Roman" w:cs="Times New Roman"/>
                <w:kern w:val="20"/>
                <w:sz w:val="20"/>
                <w:szCs w:val="20"/>
              </w:rPr>
            </w:pPr>
            <w:r>
              <w:rPr>
                <w:rFonts w:ascii="Times New Roman" w:hAnsi="Times New Roman" w:cs="Times New Roman"/>
                <w:kern w:val="20"/>
                <w:sz w:val="20"/>
                <w:szCs w:val="20"/>
              </w:rPr>
              <w:t>-</w:t>
            </w:r>
          </w:p>
        </w:tc>
      </w:tr>
      <w:tr w:rsidR="008A2F14" w:rsidRPr="000842C1" w:rsidTr="00C873C8">
        <w:tc>
          <w:tcPr>
            <w:tcW w:w="581" w:type="dxa"/>
          </w:tcPr>
          <w:p w:rsidR="008A2F14" w:rsidRDefault="008A2F14" w:rsidP="008A2F14">
            <w:pPr>
              <w:rPr>
                <w:rFonts w:ascii="Times New Roman" w:hAnsi="Times New Roman" w:cs="Times New Roman"/>
                <w:sz w:val="20"/>
                <w:szCs w:val="20"/>
              </w:rPr>
            </w:pPr>
            <w:r>
              <w:rPr>
                <w:rFonts w:ascii="Times New Roman" w:hAnsi="Times New Roman" w:cs="Times New Roman"/>
                <w:sz w:val="20"/>
                <w:szCs w:val="20"/>
              </w:rPr>
              <w:t>10.</w:t>
            </w:r>
          </w:p>
        </w:tc>
        <w:tc>
          <w:tcPr>
            <w:tcW w:w="2219" w:type="dxa"/>
          </w:tcPr>
          <w:p w:rsidR="008A2F14" w:rsidRDefault="008A2F14" w:rsidP="008A2F14">
            <w:pPr>
              <w:rPr>
                <w:rFonts w:ascii="Times New Roman" w:hAnsi="Times New Roman" w:cs="Times New Roman"/>
                <w:sz w:val="20"/>
                <w:szCs w:val="20"/>
              </w:rPr>
            </w:pPr>
            <w:r>
              <w:rPr>
                <w:rFonts w:ascii="Times New Roman" w:hAnsi="Times New Roman" w:cs="Times New Roman"/>
                <w:sz w:val="20"/>
                <w:szCs w:val="20"/>
              </w:rPr>
              <w:t>Приложение 38</w:t>
            </w:r>
          </w:p>
        </w:tc>
        <w:tc>
          <w:tcPr>
            <w:tcW w:w="2197" w:type="dxa"/>
          </w:tcPr>
          <w:p w:rsidR="008A2F14" w:rsidRDefault="008A2F14" w:rsidP="008A2F14">
            <w:pPr>
              <w:rPr>
                <w:rFonts w:ascii="Times New Roman" w:hAnsi="Times New Roman" w:cs="Times New Roman"/>
                <w:sz w:val="20"/>
                <w:szCs w:val="20"/>
              </w:rPr>
            </w:pPr>
            <w:r>
              <w:rPr>
                <w:rFonts w:ascii="Times New Roman" w:hAnsi="Times New Roman" w:cs="Times New Roman"/>
                <w:sz w:val="20"/>
                <w:szCs w:val="20"/>
              </w:rPr>
              <w:t>Изменение в названии</w:t>
            </w:r>
          </w:p>
        </w:tc>
        <w:tc>
          <w:tcPr>
            <w:tcW w:w="5063" w:type="dxa"/>
          </w:tcPr>
          <w:p w:rsidR="008A2F14" w:rsidRPr="003C40F2" w:rsidRDefault="008A2F14" w:rsidP="008A2F14">
            <w:pPr>
              <w:rPr>
                <w:rFonts w:ascii="Times New Roman" w:hAnsi="Times New Roman" w:cs="Times New Roman"/>
                <w:sz w:val="20"/>
                <w:szCs w:val="20"/>
              </w:rPr>
            </w:pPr>
            <w:r w:rsidRPr="003C40F2">
              <w:rPr>
                <w:rFonts w:ascii="Times New Roman" w:hAnsi="Times New Roman" w:cs="Times New Roman"/>
                <w:sz w:val="20"/>
                <w:szCs w:val="20"/>
              </w:rPr>
              <w:t>ЗАЯВЛЕНИЕ на включение в категорию/исключение из категории клиентов с особым уровнем риска (КОУР) при совершении Необеспеченных сделок</w:t>
            </w:r>
          </w:p>
        </w:tc>
        <w:tc>
          <w:tcPr>
            <w:tcW w:w="5386" w:type="dxa"/>
          </w:tcPr>
          <w:p w:rsidR="008A2F14" w:rsidRDefault="008A2F14" w:rsidP="008A2F14">
            <w:pPr>
              <w:tabs>
                <w:tab w:val="left" w:pos="1605"/>
              </w:tabs>
              <w:jc w:val="both"/>
              <w:rPr>
                <w:rFonts w:ascii="Times New Roman" w:hAnsi="Times New Roman" w:cs="Times New Roman"/>
                <w:kern w:val="20"/>
                <w:sz w:val="20"/>
                <w:szCs w:val="20"/>
              </w:rPr>
            </w:pPr>
            <w:r w:rsidRPr="003C40F2">
              <w:rPr>
                <w:rFonts w:ascii="Times New Roman" w:hAnsi="Times New Roman" w:cs="Times New Roman"/>
                <w:kern w:val="20"/>
                <w:sz w:val="20"/>
                <w:szCs w:val="20"/>
              </w:rPr>
              <w:t>ЗАЯВЛЕНИЕ на включение в категорию/исключение из категории клиентов с особым уровнем риска (КОУР)</w:t>
            </w:r>
          </w:p>
        </w:tc>
      </w:tr>
    </w:tbl>
    <w:p w:rsidR="00E9467C" w:rsidRPr="00EB0CBA" w:rsidRDefault="00E9467C">
      <w:pPr>
        <w:rPr>
          <w:rFonts w:ascii="Times New Roman" w:hAnsi="Times New Roman" w:cs="Times New Roman"/>
          <w:sz w:val="20"/>
          <w:szCs w:val="20"/>
        </w:rPr>
      </w:pPr>
    </w:p>
    <w:sectPr w:rsidR="00E9467C" w:rsidRPr="00EB0CBA" w:rsidSect="00F82B8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D67D4"/>
    <w:multiLevelType w:val="multilevel"/>
    <w:tmpl w:val="89B44882"/>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0477285"/>
    <w:multiLevelType w:val="hybridMultilevel"/>
    <w:tmpl w:val="9B64EF8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3523F3"/>
    <w:multiLevelType w:val="hybridMultilevel"/>
    <w:tmpl w:val="5B10F8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EC"/>
    <w:rsid w:val="000842C1"/>
    <w:rsid w:val="000C0821"/>
    <w:rsid w:val="001524B7"/>
    <w:rsid w:val="00161AEC"/>
    <w:rsid w:val="002F5B18"/>
    <w:rsid w:val="00342BBC"/>
    <w:rsid w:val="003C40F2"/>
    <w:rsid w:val="004F0304"/>
    <w:rsid w:val="0051146C"/>
    <w:rsid w:val="00560602"/>
    <w:rsid w:val="00565EC8"/>
    <w:rsid w:val="0067559D"/>
    <w:rsid w:val="0068005C"/>
    <w:rsid w:val="006A2159"/>
    <w:rsid w:val="006B0B72"/>
    <w:rsid w:val="006C21BD"/>
    <w:rsid w:val="00714905"/>
    <w:rsid w:val="00756F5A"/>
    <w:rsid w:val="007764D1"/>
    <w:rsid w:val="0078071C"/>
    <w:rsid w:val="008158EE"/>
    <w:rsid w:val="008A2F14"/>
    <w:rsid w:val="008B1916"/>
    <w:rsid w:val="00923218"/>
    <w:rsid w:val="009D4911"/>
    <w:rsid w:val="009E11EB"/>
    <w:rsid w:val="009E155E"/>
    <w:rsid w:val="00B24A1C"/>
    <w:rsid w:val="00BB4BA0"/>
    <w:rsid w:val="00BC7723"/>
    <w:rsid w:val="00BE73DF"/>
    <w:rsid w:val="00BF13B0"/>
    <w:rsid w:val="00C873C8"/>
    <w:rsid w:val="00CB5A5B"/>
    <w:rsid w:val="00CB7A46"/>
    <w:rsid w:val="00CC59C2"/>
    <w:rsid w:val="00CF0371"/>
    <w:rsid w:val="00E6205A"/>
    <w:rsid w:val="00E740FB"/>
    <w:rsid w:val="00E9467C"/>
    <w:rsid w:val="00EB0CBA"/>
    <w:rsid w:val="00F8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BCFB"/>
  <w15:chartTrackingRefBased/>
  <w15:docId w15:val="{B2785E56-D5AB-4F05-B233-F76437C8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7764D1"/>
    <w:pPr>
      <w:keepNext/>
      <w:autoSpaceDE w:val="0"/>
      <w:autoSpaceDN w:val="0"/>
      <w:spacing w:after="0" w:line="240" w:lineRule="auto"/>
      <w:outlineLvl w:val="1"/>
    </w:pPr>
    <w:rPr>
      <w:rFonts w:ascii="Times New Roman" w:eastAsia="Times New Roman" w:hAnsi="Times New Roman" w:cs="Times New Roman"/>
      <w:sz w:val="40"/>
      <w:szCs w:val="40"/>
      <w:lang w:eastAsia="ru-RU"/>
    </w:rPr>
  </w:style>
  <w:style w:type="paragraph" w:styleId="3">
    <w:name w:val="heading 3"/>
    <w:basedOn w:val="a"/>
    <w:next w:val="a"/>
    <w:link w:val="30"/>
    <w:qFormat/>
    <w:rsid w:val="00E6205A"/>
    <w:pPr>
      <w:keepNext/>
      <w:spacing w:after="0" w:line="240" w:lineRule="atLeast"/>
      <w:jc w:val="center"/>
      <w:outlineLvl w:val="2"/>
    </w:pPr>
    <w:rPr>
      <w:rFonts w:ascii="Times New Roman" w:eastAsia="Times New Roman" w:hAnsi="Times New Roman" w:cs="Times New Roman"/>
      <w:b/>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6205A"/>
    <w:rPr>
      <w:sz w:val="16"/>
      <w:szCs w:val="16"/>
    </w:rPr>
  </w:style>
  <w:style w:type="paragraph" w:styleId="a5">
    <w:name w:val="annotation text"/>
    <w:basedOn w:val="a"/>
    <w:link w:val="a6"/>
    <w:uiPriority w:val="99"/>
    <w:unhideWhenUsed/>
    <w:rsid w:val="00E6205A"/>
    <w:pPr>
      <w:spacing w:after="0" w:line="240" w:lineRule="auto"/>
    </w:pPr>
    <w:rPr>
      <w:rFonts w:ascii="Times New Roman" w:eastAsia="Times New Roman" w:hAnsi="Times New Roman" w:cs="Times New Roman"/>
      <w:sz w:val="20"/>
      <w:szCs w:val="20"/>
      <w:lang w:eastAsia="en-GB"/>
    </w:rPr>
  </w:style>
  <w:style w:type="character" w:customStyle="1" w:styleId="a6">
    <w:name w:val="Текст примечания Знак"/>
    <w:basedOn w:val="a0"/>
    <w:link w:val="a5"/>
    <w:uiPriority w:val="99"/>
    <w:rsid w:val="00E6205A"/>
    <w:rPr>
      <w:rFonts w:ascii="Times New Roman" w:eastAsia="Times New Roman" w:hAnsi="Times New Roman" w:cs="Times New Roman"/>
      <w:sz w:val="20"/>
      <w:szCs w:val="20"/>
      <w:lang w:eastAsia="en-GB"/>
    </w:rPr>
  </w:style>
  <w:style w:type="paragraph" w:styleId="a7">
    <w:name w:val="Balloon Text"/>
    <w:basedOn w:val="a"/>
    <w:link w:val="a8"/>
    <w:uiPriority w:val="99"/>
    <w:semiHidden/>
    <w:unhideWhenUsed/>
    <w:rsid w:val="00E620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205A"/>
    <w:rPr>
      <w:rFonts w:ascii="Segoe UI" w:hAnsi="Segoe UI" w:cs="Segoe UI"/>
      <w:sz w:val="18"/>
      <w:szCs w:val="18"/>
    </w:rPr>
  </w:style>
  <w:style w:type="paragraph" w:styleId="a9">
    <w:name w:val="List Paragraph"/>
    <w:basedOn w:val="a"/>
    <w:uiPriority w:val="34"/>
    <w:qFormat/>
    <w:rsid w:val="00E6205A"/>
    <w:pPr>
      <w:spacing w:after="200" w:line="276" w:lineRule="auto"/>
      <w:ind w:left="720"/>
      <w:contextualSpacing/>
    </w:pPr>
    <w:rPr>
      <w:rFonts w:ascii="Calibri" w:eastAsia="Calibri" w:hAnsi="Calibri" w:cs="Times New Roman"/>
    </w:rPr>
  </w:style>
  <w:style w:type="character" w:customStyle="1" w:styleId="30">
    <w:name w:val="Заголовок 3 Знак"/>
    <w:basedOn w:val="a0"/>
    <w:link w:val="3"/>
    <w:rsid w:val="00E6205A"/>
    <w:rPr>
      <w:rFonts w:ascii="Times New Roman" w:eastAsia="Times New Roman" w:hAnsi="Times New Roman" w:cs="Times New Roman"/>
      <w:b/>
      <w:snapToGrid w:val="0"/>
      <w:sz w:val="24"/>
      <w:szCs w:val="24"/>
      <w:lang w:eastAsia="ru-RU"/>
    </w:rPr>
  </w:style>
  <w:style w:type="character" w:styleId="aa">
    <w:name w:val="Hyperlink"/>
    <w:rsid w:val="00E6205A"/>
    <w:rPr>
      <w:color w:val="0000FF"/>
      <w:u w:val="single"/>
    </w:rPr>
  </w:style>
  <w:style w:type="character" w:customStyle="1" w:styleId="20">
    <w:name w:val="Заголовок 2 Знак"/>
    <w:basedOn w:val="a0"/>
    <w:link w:val="2"/>
    <w:uiPriority w:val="99"/>
    <w:rsid w:val="007764D1"/>
    <w:rPr>
      <w:rFonts w:ascii="Times New Roman" w:eastAsia="Times New Roman" w:hAnsi="Times New Roman" w:cs="Times New Roman"/>
      <w:sz w:val="40"/>
      <w:szCs w:val="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3858</Words>
  <Characters>21993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Титенок Дмитрий Эдуардович</dc:creator>
  <cp:keywords/>
  <dc:description/>
  <cp:lastModifiedBy>Новикова Ирина Николаевна</cp:lastModifiedBy>
  <cp:revision>17</cp:revision>
  <dcterms:created xsi:type="dcterms:W3CDTF">2025-01-30T13:34:00Z</dcterms:created>
  <dcterms:modified xsi:type="dcterms:W3CDTF">2025-03-04T13:21:00Z</dcterms:modified>
</cp:coreProperties>
</file>