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5246"/>
        <w:gridCol w:w="4819"/>
      </w:tblGrid>
      <w:tr w:rsidR="0048324C" w:rsidRPr="00FA44CF" w:rsidTr="0048324C">
        <w:tc>
          <w:tcPr>
            <w:tcW w:w="5246" w:type="dxa"/>
          </w:tcPr>
          <w:p w:rsidR="0048324C" w:rsidRPr="00FA44CF" w:rsidRDefault="0048324C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FA44CF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4819" w:type="dxa"/>
          </w:tcPr>
          <w:p w:rsidR="0048324C" w:rsidRPr="00FA44CF" w:rsidRDefault="0048324C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FA44CF">
              <w:rPr>
                <w:rFonts w:cstheme="minorHAnsi"/>
                <w:b/>
                <w:sz w:val="18"/>
                <w:szCs w:val="18"/>
              </w:rPr>
              <w:t xml:space="preserve">Краткое </w:t>
            </w:r>
          </w:p>
          <w:p w:rsidR="0048324C" w:rsidRPr="00FA44CF" w:rsidRDefault="0048324C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FA44CF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FA44CF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ВЭБ.РФ, ВЭБ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A44CF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 xml:space="preserve">Euroclear </w:t>
            </w:r>
            <w:proofErr w:type="spellStart"/>
            <w:r w:rsidRPr="00FA44CF">
              <w:rPr>
                <w:rFonts w:cstheme="minorHAnsi"/>
                <w:sz w:val="18"/>
                <w:szCs w:val="18"/>
              </w:rPr>
              <w:t>Bank</w:t>
            </w:r>
            <w:proofErr w:type="spellEnd"/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Банк ВТБ (ПАО)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НКО АО НРД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FA44CF">
              <w:rPr>
                <w:rFonts w:cstheme="minorHAnsi"/>
                <w:sz w:val="18"/>
                <w:szCs w:val="18"/>
                <w:lang w:val="en-US"/>
              </w:rPr>
              <w:t>AS KIT Finance Europe (</w:t>
            </w:r>
            <w:r w:rsidRPr="00FA44CF">
              <w:rPr>
                <w:rFonts w:cstheme="minorHAnsi"/>
                <w:sz w:val="18"/>
                <w:szCs w:val="18"/>
              </w:rPr>
              <w:t>счёт</w:t>
            </w:r>
            <w:r w:rsidRPr="00FA44CF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FA44CF">
              <w:rPr>
                <w:rFonts w:cstheme="minorHAnsi"/>
                <w:sz w:val="18"/>
                <w:szCs w:val="18"/>
              </w:rPr>
              <w:t>закрыт</w:t>
            </w:r>
            <w:r w:rsidRPr="00FA44CF">
              <w:rPr>
                <w:rFonts w:cstheme="minorHAnsi"/>
                <w:sz w:val="18"/>
                <w:szCs w:val="18"/>
                <w:lang w:val="en-US"/>
              </w:rPr>
              <w:t>)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FA44CF">
              <w:rPr>
                <w:rFonts w:cstheme="minorHAnsi"/>
                <w:sz w:val="18"/>
                <w:szCs w:val="18"/>
                <w:lang w:val="en-US"/>
              </w:rPr>
              <w:t>Aktsiaselts</w:t>
            </w:r>
            <w:proofErr w:type="spellEnd"/>
            <w:r w:rsidRPr="00FA44CF">
              <w:rPr>
                <w:rFonts w:cstheme="minorHAnsi"/>
                <w:sz w:val="18"/>
                <w:szCs w:val="18"/>
                <w:lang w:val="en-US"/>
              </w:rPr>
              <w:t xml:space="preserve"> KIT Finance Europe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Публичное акционерное общество Банк «Финансовая Корпорация Открытие»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ПАО Банк «ФК Открытие»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Общество с ограниченной ответственностью «Московский Фондовый центр»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color w:val="374151"/>
                <w:sz w:val="18"/>
                <w:szCs w:val="18"/>
                <w:shd w:val="clear" w:color="auto" w:fill="FFFFFF"/>
              </w:rPr>
              <w:t>ООО «Московский Фондовый центр»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«Независимая Регистраторская Компания Р.О.С.Т.»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Закрытое акционерное общество «РДЦ ПАРИТЕТ»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ЗАО «РДЦ ПАРИТЕТ»"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Закрытое акционерное общество "РК-РЕЕСТР" (счет закрыт)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ЗАО "РК-РЕЕСТР"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«Индустрия-РЕЕСТР»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«Индустрия-РЕЕСТР»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«Новый Регистратор»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«Новый регистратор»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«Независимая регистраторская компания»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«Независимая регистраторская компания»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АО «Реестр»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«Реестр»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"Регистраторское общество "СТАТУС" (счет закрыт)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"СТАТУС"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Закрытое акционерное общество "Петербургская центральная регистрационная компания", Филиал "Московский" (счет закрыт)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ЗАО "ПЦРК" Филиал "Московский"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«Объединенный специализированный депозитарий»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"ОСД"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«НСД»</w:t>
            </w:r>
          </w:p>
        </w:tc>
      </w:tr>
      <w:tr w:rsidR="00F77C52" w:rsidRPr="00FA44CF" w:rsidTr="0048324C">
        <w:tc>
          <w:tcPr>
            <w:tcW w:w="5246" w:type="dxa"/>
          </w:tcPr>
          <w:p w:rsidR="00F77C52" w:rsidRPr="00FA44CF" w:rsidRDefault="00F77C52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Общество с ограниченной ответственностью Инвестиционная компания "</w:t>
            </w:r>
            <w:proofErr w:type="spellStart"/>
            <w:r w:rsidRPr="00FA44CF">
              <w:rPr>
                <w:rFonts w:cstheme="minorHAnsi"/>
                <w:sz w:val="18"/>
                <w:szCs w:val="18"/>
              </w:rPr>
              <w:t>Септем</w:t>
            </w:r>
            <w:proofErr w:type="spellEnd"/>
            <w:r w:rsidRPr="00FA44CF">
              <w:rPr>
                <w:rFonts w:cstheme="minorHAnsi"/>
                <w:sz w:val="18"/>
                <w:szCs w:val="18"/>
              </w:rPr>
              <w:t xml:space="preserve"> Капитал" (счет закрыт)</w:t>
            </w:r>
          </w:p>
        </w:tc>
        <w:tc>
          <w:tcPr>
            <w:tcW w:w="4819" w:type="dxa"/>
          </w:tcPr>
          <w:p w:rsidR="00F77C52" w:rsidRPr="00FA44CF" w:rsidRDefault="00F77C52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ООО ИК «</w:t>
            </w:r>
            <w:proofErr w:type="spellStart"/>
            <w:r w:rsidRPr="00FA44CF">
              <w:rPr>
                <w:rFonts w:cstheme="minorHAnsi"/>
                <w:sz w:val="18"/>
                <w:szCs w:val="18"/>
              </w:rPr>
              <w:t>Септем</w:t>
            </w:r>
            <w:proofErr w:type="spellEnd"/>
            <w:r w:rsidRPr="00FA44CF">
              <w:rPr>
                <w:rFonts w:cstheme="minorHAnsi"/>
                <w:sz w:val="18"/>
                <w:szCs w:val="18"/>
              </w:rPr>
              <w:t xml:space="preserve"> Капитал»</w:t>
            </w:r>
          </w:p>
        </w:tc>
      </w:tr>
      <w:tr w:rsidR="0048324C" w:rsidRPr="00FA44CF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Акционерное общество «</w:t>
            </w:r>
            <w:proofErr w:type="spellStart"/>
            <w:r w:rsidRPr="00FA44CF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Pr="00FA44CF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4819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АО «</w:t>
            </w:r>
            <w:proofErr w:type="spellStart"/>
            <w:r w:rsidRPr="00FA44CF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Pr="00FA44CF">
              <w:rPr>
                <w:rFonts w:cstheme="minorHAnsi"/>
                <w:sz w:val="18"/>
                <w:szCs w:val="18"/>
              </w:rPr>
              <w:t>»</w:t>
            </w:r>
          </w:p>
        </w:tc>
      </w:tr>
      <w:tr w:rsidR="0048324C" w:rsidRPr="00937262" w:rsidTr="0048324C">
        <w:tc>
          <w:tcPr>
            <w:tcW w:w="5246" w:type="dxa"/>
          </w:tcPr>
          <w:p w:rsidR="0048324C" w:rsidRPr="00FA44CF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Закрытое акционерное общество «Санкт-Петербургский Расчетно-Депозитарный Центр»</w:t>
            </w:r>
          </w:p>
        </w:tc>
        <w:tc>
          <w:tcPr>
            <w:tcW w:w="4819" w:type="dxa"/>
          </w:tcPr>
          <w:p w:rsidR="0048324C" w:rsidRPr="00937262" w:rsidRDefault="0048324C" w:rsidP="0045207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FA44CF">
              <w:rPr>
                <w:rFonts w:cstheme="minorHAnsi"/>
                <w:sz w:val="18"/>
                <w:szCs w:val="18"/>
              </w:rPr>
              <w:t>ЗАО СПб РДЦ</w:t>
            </w:r>
          </w:p>
        </w:tc>
      </w:tr>
      <w:bookmarkEnd w:id="0"/>
    </w:tbl>
    <w:p w:rsidR="00F67CBA" w:rsidRPr="00B7663D" w:rsidRDefault="00452070"/>
    <w:sectPr w:rsidR="00F67CBA" w:rsidRPr="00B7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3D"/>
    <w:rsid w:val="00186E3F"/>
    <w:rsid w:val="00190F21"/>
    <w:rsid w:val="0035501B"/>
    <w:rsid w:val="003B07C8"/>
    <w:rsid w:val="003B48E8"/>
    <w:rsid w:val="00452070"/>
    <w:rsid w:val="00464214"/>
    <w:rsid w:val="0048324C"/>
    <w:rsid w:val="00524322"/>
    <w:rsid w:val="005E05B0"/>
    <w:rsid w:val="005E7413"/>
    <w:rsid w:val="007F624A"/>
    <w:rsid w:val="00807124"/>
    <w:rsid w:val="008269B2"/>
    <w:rsid w:val="00847F25"/>
    <w:rsid w:val="008E4771"/>
    <w:rsid w:val="00921FC9"/>
    <w:rsid w:val="00937262"/>
    <w:rsid w:val="00953BC2"/>
    <w:rsid w:val="00A03857"/>
    <w:rsid w:val="00A87951"/>
    <w:rsid w:val="00AA7653"/>
    <w:rsid w:val="00B009B0"/>
    <w:rsid w:val="00B162D8"/>
    <w:rsid w:val="00B269AC"/>
    <w:rsid w:val="00B7663D"/>
    <w:rsid w:val="00BD0738"/>
    <w:rsid w:val="00BE4378"/>
    <w:rsid w:val="00CB42E0"/>
    <w:rsid w:val="00CE3053"/>
    <w:rsid w:val="00D3417F"/>
    <w:rsid w:val="00D83B56"/>
    <w:rsid w:val="00DA09E5"/>
    <w:rsid w:val="00E43DA9"/>
    <w:rsid w:val="00F40130"/>
    <w:rsid w:val="00F412D5"/>
    <w:rsid w:val="00F77C52"/>
    <w:rsid w:val="00F92222"/>
    <w:rsid w:val="00F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0320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11</cp:revision>
  <cp:lastPrinted>2024-10-04T12:07:00Z</cp:lastPrinted>
  <dcterms:created xsi:type="dcterms:W3CDTF">2024-10-03T19:05:00Z</dcterms:created>
  <dcterms:modified xsi:type="dcterms:W3CDTF">2024-10-08T11:50:00Z</dcterms:modified>
</cp:coreProperties>
</file>